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E0" w:rsidRDefault="00A354E0" w:rsidP="004D50EF">
      <w:pPr>
        <w:autoSpaceDE w:val="0"/>
        <w:autoSpaceDN w:val="0"/>
        <w:adjustRightInd w:val="0"/>
        <w:spacing w:after="0" w:line="240" w:lineRule="auto"/>
        <w:jc w:val="right"/>
        <w:rPr>
          <w:rFonts w:ascii="Times New Roman" w:hAnsi="Times New Roman"/>
          <w:b/>
          <w:sz w:val="24"/>
          <w:szCs w:val="24"/>
        </w:rPr>
      </w:pPr>
    </w:p>
    <w:p w:rsidR="00A354E0" w:rsidRPr="000D672C" w:rsidRDefault="00A354E0" w:rsidP="004D50EF">
      <w:pPr>
        <w:autoSpaceDE w:val="0"/>
        <w:autoSpaceDN w:val="0"/>
        <w:adjustRightInd w:val="0"/>
        <w:spacing w:after="0" w:line="240" w:lineRule="auto"/>
        <w:jc w:val="right"/>
        <w:rPr>
          <w:rFonts w:ascii="Times New Roman" w:hAnsi="Times New Roman"/>
          <w:b/>
          <w:sz w:val="24"/>
          <w:szCs w:val="24"/>
        </w:rPr>
      </w:pPr>
    </w:p>
    <w:p w:rsidR="00A354E0" w:rsidRPr="000D672C" w:rsidRDefault="00A354E0" w:rsidP="0077044A">
      <w:pPr>
        <w:autoSpaceDE w:val="0"/>
        <w:autoSpaceDN w:val="0"/>
        <w:adjustRightInd w:val="0"/>
        <w:spacing w:after="0" w:line="240" w:lineRule="auto"/>
        <w:jc w:val="center"/>
        <w:rPr>
          <w:rFonts w:ascii="Times New Roman" w:hAnsi="Times New Roman"/>
          <w:b/>
          <w:bCs/>
          <w:sz w:val="24"/>
          <w:szCs w:val="24"/>
        </w:rPr>
      </w:pPr>
      <w:r w:rsidRPr="000D672C">
        <w:rPr>
          <w:rFonts w:ascii="Times New Roman" w:hAnsi="Times New Roman"/>
          <w:b/>
          <w:bCs/>
          <w:sz w:val="24"/>
          <w:szCs w:val="24"/>
        </w:rPr>
        <w:t>CONDIŢIILE ACORDĂRII PACHETULUI DE SERVICII MINIMAL ŞI DE BAZĂ ÎN ASISTENŢA MEDICALĂ PRIMARĂ</w:t>
      </w:r>
    </w:p>
    <w:p w:rsidR="00A354E0" w:rsidRDefault="00A354E0" w:rsidP="00042675">
      <w:pPr>
        <w:autoSpaceDE w:val="0"/>
        <w:autoSpaceDN w:val="0"/>
        <w:adjustRightInd w:val="0"/>
        <w:spacing w:after="0" w:line="240" w:lineRule="auto"/>
        <w:jc w:val="both"/>
        <w:rPr>
          <w:rFonts w:ascii="Times New Roman" w:hAnsi="Times New Roman"/>
          <w:b/>
          <w:bCs/>
          <w:sz w:val="24"/>
          <w:szCs w:val="24"/>
        </w:rPr>
      </w:pPr>
    </w:p>
    <w:p w:rsidR="00A354E0" w:rsidRPr="000D672C" w:rsidRDefault="00A354E0" w:rsidP="00042675">
      <w:pPr>
        <w:autoSpaceDE w:val="0"/>
        <w:autoSpaceDN w:val="0"/>
        <w:adjustRightInd w:val="0"/>
        <w:spacing w:after="0" w:line="240" w:lineRule="auto"/>
        <w:jc w:val="both"/>
        <w:rPr>
          <w:rFonts w:ascii="Times New Roman" w:hAnsi="Times New Roman"/>
          <w:b/>
          <w:bCs/>
          <w:sz w:val="24"/>
          <w:szCs w:val="24"/>
        </w:rPr>
      </w:pPr>
    </w:p>
    <w:p w:rsidR="00A354E0" w:rsidRPr="000D672C" w:rsidRDefault="00A354E0" w:rsidP="00042675">
      <w:pPr>
        <w:autoSpaceDE w:val="0"/>
        <w:autoSpaceDN w:val="0"/>
        <w:adjustRightInd w:val="0"/>
        <w:spacing w:after="0" w:line="240" w:lineRule="auto"/>
        <w:jc w:val="both"/>
        <w:rPr>
          <w:rFonts w:ascii="Times New Roman" w:hAnsi="Times New Roman"/>
          <w:b/>
          <w:bCs/>
          <w:sz w:val="24"/>
          <w:szCs w:val="24"/>
        </w:rPr>
      </w:pPr>
      <w:r w:rsidRPr="000D672C">
        <w:rPr>
          <w:rFonts w:ascii="Times New Roman" w:hAnsi="Times New Roman"/>
          <w:b/>
          <w:bCs/>
          <w:sz w:val="24"/>
          <w:szCs w:val="24"/>
        </w:rPr>
        <w:t xml:space="preserve">    A. PACHETUL MINIMAL DE SERVICII MEDICALE ÎN ASISTENŢA MEDICALĂ PRIMARĂ</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b/>
          <w:bCs/>
          <w:sz w:val="24"/>
          <w:szCs w:val="24"/>
        </w:rPr>
        <w:t xml:space="preserve">   1. Pachetul minimal de servicii medicale în asistenţa medicală primară cuprinde următoarele tipuri de servicii medicale: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1.1. Servicii medicale pentru situaţiile de urgenţă medico-chirurgicală</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1.2. Supraveghere şi depistare de boli cu potenţial endemo-epidemic</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1.3. Consultaţii de monitorizare a evoluţiei sarcinii şi lehuziei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1.4. Consultaţiile de planificare familială</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1.5. Servicii de prevenţie</w:t>
      </w:r>
    </w:p>
    <w:p w:rsidR="00A354E0" w:rsidRDefault="00A354E0" w:rsidP="00042675">
      <w:pPr>
        <w:autoSpaceDE w:val="0"/>
        <w:autoSpaceDN w:val="0"/>
        <w:adjustRightInd w:val="0"/>
        <w:spacing w:after="0" w:line="240" w:lineRule="auto"/>
        <w:jc w:val="both"/>
        <w:rPr>
          <w:rFonts w:ascii="Times New Roman" w:hAnsi="Times New Roman"/>
          <w:sz w:val="24"/>
          <w:szCs w:val="24"/>
        </w:rPr>
      </w:pPr>
      <w:r w:rsidRPr="00E8708E">
        <w:rPr>
          <w:rFonts w:ascii="Times New Roman" w:hAnsi="Times New Roman"/>
          <w:sz w:val="24"/>
          <w:szCs w:val="24"/>
        </w:rPr>
        <w:t xml:space="preserve">    1.6. Activităţi de suport</w:t>
      </w:r>
    </w:p>
    <w:p w:rsidR="00A354E0" w:rsidRPr="00E8708E" w:rsidRDefault="00A354E0" w:rsidP="00042675">
      <w:pPr>
        <w:autoSpaceDE w:val="0"/>
        <w:autoSpaceDN w:val="0"/>
        <w:adjustRightInd w:val="0"/>
        <w:spacing w:after="0" w:line="240" w:lineRule="auto"/>
        <w:jc w:val="both"/>
        <w:rPr>
          <w:rFonts w:ascii="Times New Roman" w:hAnsi="Times New Roman"/>
          <w:sz w:val="24"/>
          <w:szCs w:val="24"/>
        </w:rPr>
      </w:pPr>
    </w:p>
    <w:p w:rsidR="00A354E0" w:rsidRPr="00E8708E" w:rsidRDefault="00A354E0" w:rsidP="0004267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8708E">
        <w:rPr>
          <w:rFonts w:ascii="Times New Roman" w:hAnsi="Times New Roman"/>
          <w:b/>
          <w:bCs/>
          <w:sz w:val="24"/>
          <w:szCs w:val="24"/>
        </w:rPr>
        <w:t>1.1. Servicii medicale pentru situaţiile de urgenţă medico-chirurgicală: asistenţă medicală de urgenţă - anamneză, examen clinic şi tratament</w:t>
      </w:r>
      <w:r w:rsidRPr="00E8708E">
        <w:rPr>
          <w:rFonts w:ascii="Times New Roman" w:hAnsi="Times New Roman"/>
          <w:sz w:val="24"/>
          <w:szCs w:val="24"/>
        </w:rPr>
        <w:t xml:space="preserve"> - se acordă în limita competenţei şi a dotării tehnice a cabinetului medical în cadrul căruia îşi desfăşoară activitatea medicul de familie. Asistenţa medicală de urgenţă se referă la cazurile de cod roşu, cod galben şi cod verde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 ajutor calificat" din Legea nr. 95/2006, cu modificările ulterioare, pentru care medicul de familie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2021/691/2008, cu modificările ulterioare ce pot fi rezolvate la nivelul cabinetului medical.</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E8708E">
        <w:rPr>
          <w:rFonts w:ascii="Times New Roman" w:hAnsi="Times New Roman"/>
          <w:sz w:val="24"/>
          <w:szCs w:val="24"/>
        </w:rPr>
        <w:t xml:space="preserve">    1.1.1. Se acordă o singură consultaţie per persoană pentru fiecare situaţie de urgenţă constatată, pentru care s-a asigurat primul ajutor sau care a fost rezolvată la nivelul cabinetului </w:t>
      </w:r>
      <w:r w:rsidRPr="000D672C">
        <w:rPr>
          <w:rFonts w:ascii="Times New Roman" w:hAnsi="Times New Roman"/>
          <w:sz w:val="24"/>
          <w:szCs w:val="24"/>
        </w:rPr>
        <w:t>medical, indiferent dacă persoana neasigurată se află sau nu înscrisă pe lista unui medic de familie.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NOTA 1: Medicaţia pentru cazurile de urgenţă se asigură din trusa medicală de urgenţă, organizată conform legii.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NOTA 2: Serviciile medicale pentru situaţiile de urgenţă medico-chirurgicală se acordă în cabinetul medicului de familie, în cadrul programului de lucru.</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NOTA</w:t>
      </w:r>
      <w:r>
        <w:rPr>
          <w:rFonts w:ascii="Times New Roman" w:hAnsi="Times New Roman"/>
          <w:sz w:val="24"/>
          <w:szCs w:val="24"/>
        </w:rPr>
        <w:t xml:space="preserve"> </w:t>
      </w:r>
      <w:r w:rsidRPr="000D672C">
        <w:rPr>
          <w:rFonts w:ascii="Times New Roman" w:hAnsi="Times New Roman"/>
          <w:sz w:val="24"/>
          <w:szCs w:val="24"/>
        </w:rPr>
        <w:t>3: Cazurile de urgenţă medico-chirurgicală care se trimit către structurile de urgenţă specializate, inclusiv cele pentru care se solicită serviciile de ambulanţă, sunt consemnate ca "urgenţă" de către medicul de familie în documentele de evidenţă primară de la nivelul cabinetului, inclusiv medicaţia şi procedurile medicale administrate la nivelul cabinetului, după caz.</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w:t>
      </w:r>
      <w:r>
        <w:rPr>
          <w:rFonts w:ascii="Times New Roman" w:hAnsi="Times New Roman"/>
          <w:sz w:val="24"/>
          <w:szCs w:val="24"/>
        </w:rPr>
        <w:t xml:space="preserve">  </w:t>
      </w:r>
      <w:r w:rsidRPr="000D672C">
        <w:rPr>
          <w:rFonts w:ascii="Times New Roman" w:hAnsi="Times New Roman"/>
          <w:sz w:val="24"/>
          <w:szCs w:val="24"/>
        </w:rPr>
        <w:t xml:space="preserve"> </w:t>
      </w:r>
      <w:r w:rsidRPr="000D672C">
        <w:rPr>
          <w:rFonts w:ascii="Times New Roman" w:hAnsi="Times New Roman"/>
          <w:b/>
          <w:bCs/>
          <w:sz w:val="24"/>
          <w:szCs w:val="24"/>
        </w:rPr>
        <w:t>1.2. Supraveghere</w:t>
      </w:r>
      <w:r w:rsidRPr="000D672C">
        <w:rPr>
          <w:rFonts w:ascii="Times New Roman" w:hAnsi="Times New Roman"/>
          <w:sz w:val="24"/>
          <w:szCs w:val="24"/>
        </w:rPr>
        <w:t xml:space="preserve"> - evaluarea factorilor ambientali, consiliere privind igiena alimentaţiei şi depistare de boli cu potenţial endemo-epidemic - examen clinic, diagnostic prezumtiv, trimitere către structurile de specialitate pentru investigaţii, confirmare, tratament adecvat şi măsuri igienico-sanitare specifice, după caz. Bolile cu potenţial endemo-epidemic sunt cele prevăzute </w:t>
      </w:r>
      <w:r w:rsidRPr="00BA5092">
        <w:rPr>
          <w:rFonts w:ascii="Times New Roman" w:hAnsi="Times New Roman"/>
          <w:color w:val="000000"/>
          <w:sz w:val="24"/>
          <w:szCs w:val="24"/>
        </w:rPr>
        <w:t xml:space="preserve">la punctul II din anexa </w:t>
      </w:r>
      <w:r w:rsidRPr="000D672C">
        <w:rPr>
          <w:rFonts w:ascii="Times New Roman" w:hAnsi="Times New Roman"/>
          <w:sz w:val="24"/>
          <w:szCs w:val="24"/>
        </w:rPr>
        <w:t>la H.G. nr. 1186/2000 pentru aprobarea listei cuprinzând urgenţele medico-chirurgicale precum şi bolile infecto-contagioase din grupa A pentru care asiguraţii beneficiază de indemnizaţie pentru incapacitate temporară de muncă fără condiţii de stagiu de cotizare.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1.2.1. Se acorda o singură consultaţie per persoană pentru fiecare boală cu potenţial endemo-epidemic suspicionată şi confirmată, inclusiv pentru bolnavul TBC nou descoperit activ de medicul de familie.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w:t>
      </w:r>
      <w:r w:rsidRPr="000D672C">
        <w:rPr>
          <w:rFonts w:ascii="Times New Roman" w:hAnsi="Times New Roman"/>
          <w:b/>
          <w:bCs/>
          <w:sz w:val="24"/>
          <w:szCs w:val="24"/>
        </w:rPr>
        <w:t>1.3. Consultaţii de monitorizare a evoluţiei sarcinii şi lehuziei: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 luarea în evidenţă în primul trimestru;</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b) supravegherea, lunar, din luna a 3-a până în luna a 7-a.</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i/>
          <w:sz w:val="24"/>
          <w:szCs w:val="24"/>
        </w:rPr>
        <w:t xml:space="preserve">    </w:t>
      </w:r>
      <w:r w:rsidRPr="000D672C">
        <w:rPr>
          <w:rFonts w:ascii="Times New Roman" w:hAnsi="Times New Roman"/>
          <w:sz w:val="24"/>
          <w:szCs w:val="24"/>
        </w:rPr>
        <w:t>În situaţia în care luarea în evidenţă a gravidei are loc în luna a 3-a, pentru această lună se va raporta casei de asigurări de sănătate numai luarea în evidenţă a gravidei, nu şi supravegherea;</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c) supravegherea, de două ori pe lună, din luna a 7-a până în luna a 9-a inclusiv;</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d) urmărirea lehuzei la externarea din maternitate - la domiciliu;</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e) urmărirea lehuzei la 4 săptămâni de la naştere;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D672C">
        <w:rPr>
          <w:rFonts w:ascii="Times New Roman" w:hAnsi="Times New Roman"/>
          <w:sz w:val="24"/>
          <w:szCs w:val="24"/>
        </w:rPr>
        <w:t xml:space="preserve">  1.3.1. În cadrul supravegherii gravidei se face şi promovarea alimentaţiei exclusive la sân a copilului până la vârsta de 6 luni şi continuarea acesteia până la minim 12 luni, recomandare testare pentru HIV, hepatită de etiologie virală cu virus B şi C</w:t>
      </w:r>
      <w:r>
        <w:rPr>
          <w:rFonts w:ascii="Times New Roman" w:hAnsi="Times New Roman"/>
          <w:sz w:val="24"/>
          <w:szCs w:val="24"/>
        </w:rPr>
        <w:t xml:space="preserve"> </w:t>
      </w:r>
      <w:r w:rsidRPr="000D672C">
        <w:rPr>
          <w:rFonts w:ascii="Times New Roman" w:hAnsi="Times New Roman"/>
          <w:sz w:val="24"/>
          <w:szCs w:val="24"/>
        </w:rPr>
        <w:t>şi lues a femeii gravide.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NOTĂ: În conformitate cu programul de monitorizare, investigaţiile paraclinice şi tratamentele specifice sarcinii pot fi recomandate de către medicul de familie, numai pentru intervalul de timp de la momentul în care gravida este luată în evidenţă de către acesta şi până la 4 săptămâni de la naştere.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0D672C">
        <w:rPr>
          <w:rFonts w:ascii="Times New Roman" w:hAnsi="Times New Roman"/>
          <w:b/>
          <w:bCs/>
          <w:sz w:val="24"/>
          <w:szCs w:val="24"/>
        </w:rPr>
        <w:t>1.4. Consultaţiile pentru acordarea serviciilor de planificare familială constau în:</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 consilierea persoanei privind planificarea familială;</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b) indicarea unei metode contraceptive.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1.4.1. Consultaţia poate cuprinde, după caz, numai serviciul prevăzut la litera a) sau serviciile prevăzute la literele a) şi b); se decontează două consultaţii pe an calendaristic, pe persoană.</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w:t>
      </w:r>
      <w:r w:rsidRPr="000D672C">
        <w:rPr>
          <w:rFonts w:ascii="Times New Roman" w:hAnsi="Times New Roman"/>
          <w:b/>
          <w:bCs/>
          <w:sz w:val="24"/>
          <w:szCs w:val="24"/>
        </w:rPr>
        <w:t>1.5. Servicii de prevenţie - consultaţie preventivă:</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Consultaţia preventivă pentru persoanele în vârstă de peste 18 ani pentru prevenirea bolilor cu consecinţe majore în morbiditate şi mortalitate se acordă o dată la 3 ani şi cuprinde:</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a. consultaţie (anamneză, examen obiectiv, diagnostic);</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b. recomandare pentru examene paraclinice pentru încadrarea într-o grupă de risc;</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c. sfat medical, recomandări regim igieno-dietetic.</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Consultaţia se poate efectua la solicitarea persoanei beneficiară de pachet minimal de servicii medicale sau la solicitarea medicului de familie - pentru persoanele neasigurate înscrise pe lista medicului de familie.</w:t>
      </w:r>
    </w:p>
    <w:p w:rsidR="00A354E0" w:rsidRPr="000D672C" w:rsidRDefault="00A354E0" w:rsidP="000D672C">
      <w:pPr>
        <w:autoSpaceDE w:val="0"/>
        <w:autoSpaceDN w:val="0"/>
        <w:adjustRightInd w:val="0"/>
        <w:spacing w:after="0" w:line="240" w:lineRule="auto"/>
        <w:jc w:val="both"/>
        <w:rPr>
          <w:rFonts w:ascii="Times New Roman" w:hAnsi="Times New Roman"/>
          <w:b/>
          <w:bCs/>
          <w:sz w:val="24"/>
          <w:szCs w:val="24"/>
          <w:lang w:val="en-US"/>
        </w:rPr>
      </w:pPr>
      <w:r>
        <w:rPr>
          <w:rFonts w:ascii="Times New Roman" w:hAnsi="Times New Roman"/>
          <w:b/>
          <w:bCs/>
          <w:sz w:val="24"/>
          <w:szCs w:val="24"/>
        </w:rPr>
        <w:t xml:space="preserve">    </w:t>
      </w:r>
      <w:r w:rsidRPr="000D672C">
        <w:rPr>
          <w:rFonts w:ascii="Times New Roman" w:hAnsi="Times New Roman"/>
          <w:b/>
          <w:bCs/>
          <w:sz w:val="24"/>
          <w:szCs w:val="24"/>
        </w:rPr>
        <w:t>1.</w:t>
      </w:r>
      <w:r w:rsidRPr="000D672C">
        <w:rPr>
          <w:rFonts w:ascii="Times New Roman" w:hAnsi="Times New Roman"/>
          <w:b/>
          <w:bCs/>
          <w:color w:val="000000"/>
          <w:sz w:val="24"/>
          <w:szCs w:val="24"/>
        </w:rPr>
        <w:t>6</w:t>
      </w:r>
      <w:r>
        <w:rPr>
          <w:rFonts w:ascii="Times New Roman" w:hAnsi="Times New Roman"/>
          <w:b/>
          <w:bCs/>
          <w:color w:val="000000"/>
          <w:sz w:val="24"/>
          <w:szCs w:val="24"/>
        </w:rPr>
        <w:t>.</w:t>
      </w:r>
      <w:r w:rsidRPr="000D672C">
        <w:rPr>
          <w:rFonts w:ascii="Times New Roman" w:hAnsi="Times New Roman"/>
          <w:b/>
          <w:bCs/>
          <w:sz w:val="24"/>
          <w:szCs w:val="24"/>
        </w:rPr>
        <w:t xml:space="preserve"> Activităţile de suport -</w:t>
      </w:r>
      <w:r>
        <w:rPr>
          <w:rFonts w:ascii="Times New Roman" w:hAnsi="Times New Roman"/>
          <w:b/>
          <w:bCs/>
          <w:sz w:val="24"/>
          <w:szCs w:val="24"/>
        </w:rPr>
        <w:t xml:space="preserve"> </w:t>
      </w:r>
      <w:r w:rsidRPr="000D672C">
        <w:rPr>
          <w:rFonts w:ascii="Times New Roman" w:hAnsi="Times New Roman"/>
          <w:color w:val="000000"/>
          <w:sz w:val="24"/>
          <w:szCs w:val="24"/>
        </w:rPr>
        <w:t xml:space="preserve">examinare </w:t>
      </w:r>
      <w:r w:rsidRPr="000D672C">
        <w:rPr>
          <w:rFonts w:ascii="Times New Roman" w:hAnsi="Times New Roman"/>
          <w:sz w:val="24"/>
          <w:szCs w:val="24"/>
        </w:rPr>
        <w:t>pentru constatarea decesului cu sau fără eliberare de acte medicale: eliberarea certificatului medical constatator al decesului, cu excepţia situaţiilor de suspiciune care necesită expertiză medico-legală, conform Ordinului ministrului justiţiei şi ministrului sănătăţii nr. 1134/C-255/2000 pentru aprobarea Normelor procedurale privind efectuarea expertizelor, a constatărilor şi a altor lucrări medico-legale.</w:t>
      </w:r>
    </w:p>
    <w:p w:rsidR="00A354E0" w:rsidRDefault="00A354E0" w:rsidP="00F428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D672C">
        <w:rPr>
          <w:rFonts w:ascii="Times New Roman" w:hAnsi="Times New Roman"/>
          <w:sz w:val="24"/>
          <w:szCs w:val="24"/>
        </w:rPr>
        <w:t>NOTĂ: Se decontează un serviciu - consultaţie - examinare pentru constatarea decesului, indiferent dacă s-a eliberat sau nu certificatul constatator de deces unui neasigurat înscris sau nu pe lista medicului de familie.</w:t>
      </w:r>
    </w:p>
    <w:p w:rsidR="00A354E0" w:rsidRPr="00FB7A40" w:rsidRDefault="00A354E0" w:rsidP="00FB7A40">
      <w:pPr>
        <w:autoSpaceDE w:val="0"/>
        <w:autoSpaceDN w:val="0"/>
        <w:adjustRightInd w:val="0"/>
        <w:spacing w:after="0" w:line="240" w:lineRule="auto"/>
        <w:ind w:firstLine="708"/>
        <w:jc w:val="both"/>
        <w:rPr>
          <w:rFonts w:ascii="Times New Roman" w:hAnsi="Times New Roman"/>
          <w:sz w:val="24"/>
          <w:szCs w:val="24"/>
        </w:rPr>
      </w:pPr>
    </w:p>
    <w:p w:rsidR="00A354E0" w:rsidRDefault="00A354E0" w:rsidP="0004267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0D672C">
        <w:rPr>
          <w:rFonts w:ascii="Times New Roman" w:hAnsi="Times New Roman"/>
          <w:b/>
          <w:bCs/>
          <w:sz w:val="24"/>
          <w:szCs w:val="24"/>
        </w:rPr>
        <w:t>2. Persoanele care beneficiază de pachetul minimal de servicii medicale suportă integral costurile pentru investigaţiile paraclinice recomandate şi tratamentul prescris de medicii de familie, precum şi costurile altor activităţi de suport altele decât cele de la pct. 1.6</w:t>
      </w:r>
      <w:r>
        <w:rPr>
          <w:rFonts w:ascii="Times New Roman" w:hAnsi="Times New Roman"/>
          <w:b/>
          <w:bCs/>
          <w:sz w:val="24"/>
          <w:szCs w:val="24"/>
        </w:rPr>
        <w:t>.</w:t>
      </w:r>
    </w:p>
    <w:p w:rsidR="00A354E0" w:rsidRDefault="00A354E0" w:rsidP="00042675">
      <w:pPr>
        <w:autoSpaceDE w:val="0"/>
        <w:autoSpaceDN w:val="0"/>
        <w:adjustRightInd w:val="0"/>
        <w:spacing w:after="0" w:line="240" w:lineRule="auto"/>
        <w:jc w:val="both"/>
        <w:rPr>
          <w:rFonts w:ascii="Times New Roman" w:hAnsi="Times New Roman"/>
          <w:b/>
          <w:bCs/>
          <w:sz w:val="24"/>
          <w:szCs w:val="24"/>
        </w:rPr>
      </w:pPr>
    </w:p>
    <w:p w:rsidR="00A354E0" w:rsidRPr="000D672C" w:rsidRDefault="00A354E0" w:rsidP="00042675">
      <w:pPr>
        <w:autoSpaceDE w:val="0"/>
        <w:autoSpaceDN w:val="0"/>
        <w:adjustRightInd w:val="0"/>
        <w:spacing w:after="0" w:line="240" w:lineRule="auto"/>
        <w:jc w:val="both"/>
        <w:rPr>
          <w:rFonts w:ascii="Times New Roman" w:hAnsi="Times New Roman"/>
          <w:b/>
          <w:bCs/>
          <w:sz w:val="24"/>
          <w:szCs w:val="24"/>
        </w:rPr>
      </w:pPr>
    </w:p>
    <w:p w:rsidR="00A354E0" w:rsidRPr="000D672C" w:rsidRDefault="00A354E0" w:rsidP="00042675">
      <w:pPr>
        <w:autoSpaceDE w:val="0"/>
        <w:autoSpaceDN w:val="0"/>
        <w:adjustRightInd w:val="0"/>
        <w:spacing w:after="0" w:line="240" w:lineRule="auto"/>
        <w:jc w:val="both"/>
        <w:rPr>
          <w:rFonts w:ascii="Times New Roman" w:hAnsi="Times New Roman"/>
          <w:b/>
          <w:bCs/>
          <w:sz w:val="24"/>
          <w:szCs w:val="24"/>
        </w:rPr>
      </w:pPr>
      <w:r w:rsidRPr="000D672C">
        <w:rPr>
          <w:rFonts w:ascii="Times New Roman" w:hAnsi="Times New Roman"/>
          <w:b/>
          <w:bCs/>
          <w:sz w:val="24"/>
          <w:szCs w:val="24"/>
        </w:rPr>
        <w:t xml:space="preserve">    B. PACHETUL DE SERVICII DE BAZĂ ÎN ASISTENŢA MEDICALĂ PRIMARĂ</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b/>
          <w:bCs/>
          <w:sz w:val="24"/>
          <w:szCs w:val="24"/>
        </w:rPr>
        <w:t xml:space="preserve">    1. Pachetul de servicii medicale de bază în asistenţa medicală primară cuprinde următoarele tipuri de servicii medicale: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1.1. servicii medicale curative </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1.2. servicii medicale de prevenţie şi profilaxie</w:t>
      </w:r>
    </w:p>
    <w:p w:rsidR="00A354E0" w:rsidRPr="0041482B" w:rsidRDefault="00A354E0" w:rsidP="00042675">
      <w:pPr>
        <w:autoSpaceDE w:val="0"/>
        <w:autoSpaceDN w:val="0"/>
        <w:adjustRightInd w:val="0"/>
        <w:spacing w:after="0" w:line="240" w:lineRule="auto"/>
        <w:jc w:val="both"/>
        <w:rPr>
          <w:rFonts w:ascii="Times New Roman" w:hAnsi="Times New Roman"/>
          <w:sz w:val="24"/>
          <w:szCs w:val="24"/>
        </w:rPr>
      </w:pPr>
      <w:r w:rsidRPr="0041482B">
        <w:rPr>
          <w:rFonts w:ascii="Times New Roman" w:hAnsi="Times New Roman"/>
          <w:sz w:val="24"/>
          <w:szCs w:val="24"/>
        </w:rPr>
        <w:t xml:space="preserve">    1.3. servicii medicale la domiciliu</w:t>
      </w:r>
    </w:p>
    <w:p w:rsidR="00A354E0" w:rsidRPr="0041482B" w:rsidRDefault="00A354E0" w:rsidP="00042675">
      <w:pPr>
        <w:autoSpaceDE w:val="0"/>
        <w:autoSpaceDN w:val="0"/>
        <w:adjustRightInd w:val="0"/>
        <w:spacing w:after="0" w:line="240" w:lineRule="auto"/>
        <w:jc w:val="both"/>
        <w:rPr>
          <w:rFonts w:ascii="Times New Roman" w:hAnsi="Times New Roman"/>
          <w:sz w:val="24"/>
          <w:szCs w:val="24"/>
        </w:rPr>
      </w:pPr>
      <w:r w:rsidRPr="0041482B">
        <w:rPr>
          <w:rFonts w:ascii="Times New Roman" w:hAnsi="Times New Roman"/>
          <w:sz w:val="24"/>
          <w:szCs w:val="24"/>
        </w:rPr>
        <w:t xml:space="preserve">    1.4. servicii medicale adiţionale</w:t>
      </w:r>
    </w:p>
    <w:p w:rsidR="00A354E0" w:rsidRPr="0041482B" w:rsidRDefault="00A354E0" w:rsidP="00042675">
      <w:pPr>
        <w:autoSpaceDE w:val="0"/>
        <w:autoSpaceDN w:val="0"/>
        <w:adjustRightInd w:val="0"/>
        <w:spacing w:after="0" w:line="240" w:lineRule="auto"/>
        <w:jc w:val="both"/>
        <w:rPr>
          <w:rFonts w:ascii="Times New Roman" w:hAnsi="Times New Roman"/>
          <w:sz w:val="24"/>
          <w:szCs w:val="24"/>
        </w:rPr>
      </w:pPr>
      <w:r w:rsidRPr="0041482B">
        <w:rPr>
          <w:rFonts w:ascii="Times New Roman" w:hAnsi="Times New Roman"/>
          <w:sz w:val="24"/>
          <w:szCs w:val="24"/>
        </w:rPr>
        <w:t xml:space="preserve">    1.5. activităţi de suport</w:t>
      </w:r>
    </w:p>
    <w:p w:rsidR="00A354E0" w:rsidRPr="0041482B" w:rsidRDefault="00A354E0" w:rsidP="00042675">
      <w:pPr>
        <w:autoSpaceDE w:val="0"/>
        <w:autoSpaceDN w:val="0"/>
        <w:adjustRightInd w:val="0"/>
        <w:spacing w:after="0" w:line="240" w:lineRule="auto"/>
        <w:jc w:val="both"/>
        <w:rPr>
          <w:rFonts w:ascii="Times New Roman" w:hAnsi="Times New Roman"/>
          <w:sz w:val="24"/>
          <w:szCs w:val="24"/>
        </w:rPr>
      </w:pPr>
      <w:r w:rsidRPr="0041482B">
        <w:rPr>
          <w:rFonts w:ascii="Times New Roman" w:hAnsi="Times New Roman"/>
          <w:sz w:val="24"/>
          <w:szCs w:val="24"/>
        </w:rPr>
        <w:t xml:space="preserve">    1.6. servicii de administrare de medicamente</w:t>
      </w:r>
    </w:p>
    <w:p w:rsidR="00A354E0" w:rsidRPr="003636D0" w:rsidRDefault="00A354E0" w:rsidP="00042675">
      <w:pPr>
        <w:autoSpaceDE w:val="0"/>
        <w:autoSpaceDN w:val="0"/>
        <w:adjustRightInd w:val="0"/>
        <w:spacing w:after="0" w:line="240" w:lineRule="auto"/>
        <w:jc w:val="both"/>
        <w:rPr>
          <w:rFonts w:ascii="Times New Roman" w:hAnsi="Times New Roman"/>
          <w:color w:val="000000"/>
          <w:sz w:val="16"/>
          <w:szCs w:val="16"/>
        </w:rPr>
      </w:pP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0D672C">
        <w:rPr>
          <w:rFonts w:ascii="Times New Roman" w:hAnsi="Times New Roman"/>
          <w:b/>
          <w:bCs/>
          <w:sz w:val="24"/>
          <w:szCs w:val="24"/>
        </w:rPr>
        <w:t>1.1.</w:t>
      </w:r>
      <w:r w:rsidRPr="000D672C">
        <w:rPr>
          <w:rFonts w:ascii="Times New Roman" w:hAnsi="Times New Roman"/>
          <w:sz w:val="24"/>
          <w:szCs w:val="24"/>
        </w:rPr>
        <w:t xml:space="preserve"> Servicii medicale curative:</w:t>
      </w:r>
    </w:p>
    <w:p w:rsidR="00A354E0"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w:t>
      </w:r>
      <w:r w:rsidRPr="000D672C">
        <w:rPr>
          <w:rFonts w:ascii="Times New Roman" w:hAnsi="Times New Roman"/>
          <w:b/>
          <w:bCs/>
          <w:sz w:val="24"/>
          <w:szCs w:val="24"/>
        </w:rPr>
        <w:t>1.1.1.</w:t>
      </w:r>
      <w:r w:rsidRPr="000D672C">
        <w:rPr>
          <w:rFonts w:ascii="Times New Roman" w:hAnsi="Times New Roman"/>
          <w:sz w:val="24"/>
          <w:szCs w:val="24"/>
        </w:rPr>
        <w:t xml:space="preserve">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 Asistenţa medicală de urgenţă se referă la cazurile de cod roşu, cod galben şi cod verde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 ajutor calificat" din Legea nr. 95/2006, cu modificările ulterioare, pentru care medicul de familie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2021/691/2008, cu modificările ulterioare, ce pot fi rezolvate la nivelul cabinetului medical.</w:t>
      </w:r>
    </w:p>
    <w:p w:rsidR="00A354E0" w:rsidRPr="000D672C" w:rsidRDefault="00A354E0" w:rsidP="0004267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D672C">
        <w:rPr>
          <w:rFonts w:ascii="Times New Roman" w:hAnsi="Times New Roman"/>
          <w:color w:val="000000"/>
          <w:sz w:val="24"/>
          <w:szCs w:val="24"/>
        </w:rPr>
        <w:t xml:space="preserve">   </w:t>
      </w:r>
      <w:r w:rsidRPr="000D672C">
        <w:rPr>
          <w:rFonts w:ascii="Times New Roman" w:hAnsi="Times New Roman"/>
          <w:b/>
          <w:color w:val="000000"/>
          <w:sz w:val="24"/>
          <w:szCs w:val="24"/>
        </w:rPr>
        <w:t>1.1.1.1.</w:t>
      </w:r>
      <w:r w:rsidRPr="000D672C">
        <w:rPr>
          <w:rFonts w:ascii="Times New Roman" w:hAnsi="Times New Roman"/>
          <w:color w:val="000000"/>
          <w:sz w:val="24"/>
          <w:szCs w:val="24"/>
        </w:rPr>
        <w:t xml:space="preserve"> Se acordă o singură consultaţie per persoană pentru fiecare situaţie de urgenţă constatată, pentru care s-a asigurat primul ajutor sau care a fost rezolvată la nivelul cabinetului medical/domiciliu. Serviciile se acordă atât pentru persoanele asigurate înscrise pe lista proprie, cât şi pentru persoanele asigurate înscrise pe lista altui medic de familie aflat în relaţie contractuală cu o casă de asigurări de sănătate.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NOTA 1: Medicaţia pentru cazurile de urgenţă se asigură din trusa medicală de urgenţă, organizată conform legii.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NOTA 2: Serviciile medicale pentru situaţiile de urgenţă medico-chirurgicală se acordă în cabinetul medicului de familie, în cadrul programului de la cabinet sau la domiciliul pacientului în cadrul programului pentru consultaţii la domiciliu.</w:t>
      </w:r>
    </w:p>
    <w:p w:rsidR="00A354E0"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NOTA</w:t>
      </w:r>
      <w:r>
        <w:rPr>
          <w:rFonts w:ascii="Times New Roman" w:hAnsi="Times New Roman"/>
          <w:sz w:val="24"/>
          <w:szCs w:val="24"/>
        </w:rPr>
        <w:t xml:space="preserve"> </w:t>
      </w:r>
      <w:r w:rsidRPr="000D672C">
        <w:rPr>
          <w:rFonts w:ascii="Times New Roman" w:hAnsi="Times New Roman"/>
          <w:sz w:val="24"/>
          <w:szCs w:val="24"/>
        </w:rPr>
        <w:t>3: Cazurile de urgenţă medico-chirurgicală care se trimit către structurile de urgenţă specializate, inclusiv cele pentru care se solicită serviciile de ambulanţă, sunt consemnate ca "urgenţă" de către medicul de familie în documentele de evidenţă primară de la nivelul cabinetului, inclusiv medicaţia şi procedurile medicale administrate la nivelul cabinetului, după caz.</w:t>
      </w:r>
    </w:p>
    <w:p w:rsidR="00A354E0" w:rsidRPr="00F02B48"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w:t>
      </w:r>
      <w:r w:rsidRPr="000D672C">
        <w:rPr>
          <w:rFonts w:ascii="Times New Roman" w:hAnsi="Times New Roman"/>
          <w:b/>
          <w:bCs/>
          <w:sz w:val="24"/>
          <w:szCs w:val="24"/>
        </w:rPr>
        <w:t>1.1.2.</w:t>
      </w:r>
      <w:r w:rsidRPr="000D672C">
        <w:rPr>
          <w:rFonts w:ascii="Times New Roman" w:hAnsi="Times New Roman"/>
          <w:sz w:val="24"/>
          <w:szCs w:val="24"/>
        </w:rPr>
        <w:t xml:space="preserve"> Consultaţia în caz de boală pentru afecţiuni acute, subacute şi acutizări</w:t>
      </w:r>
      <w:r>
        <w:rPr>
          <w:rFonts w:ascii="Times New Roman" w:hAnsi="Times New Roman"/>
          <w:sz w:val="24"/>
          <w:szCs w:val="24"/>
        </w:rPr>
        <w:t xml:space="preserve"> a</w:t>
      </w:r>
      <w:r w:rsidRPr="000D672C">
        <w:rPr>
          <w:rFonts w:ascii="Times New Roman" w:hAnsi="Times New Roman"/>
          <w:sz w:val="24"/>
          <w:szCs w:val="24"/>
        </w:rPr>
        <w:t xml:space="preserve">le unor afecţiuni </w:t>
      </w:r>
      <w:r w:rsidRPr="00F02B48">
        <w:rPr>
          <w:rFonts w:ascii="Times New Roman" w:hAnsi="Times New Roman"/>
          <w:sz w:val="24"/>
          <w:szCs w:val="24"/>
        </w:rPr>
        <w:t>cronice, care cuprinde următoarele activități:</w:t>
      </w:r>
    </w:p>
    <w:p w:rsidR="00A354E0" w:rsidRPr="000D672C" w:rsidRDefault="00A354E0" w:rsidP="00BC47CC">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 anamneză, examenul clinic general;</w:t>
      </w:r>
    </w:p>
    <w:p w:rsidR="00A354E0" w:rsidRPr="000D672C" w:rsidRDefault="00A354E0" w:rsidP="00BC47CC">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b. unele manevre specifice pe care medicul le consideră necesare;</w:t>
      </w:r>
    </w:p>
    <w:p w:rsidR="00A354E0" w:rsidRPr="000D672C" w:rsidRDefault="00A354E0" w:rsidP="00BC47CC">
      <w:pPr>
        <w:tabs>
          <w:tab w:val="left" w:pos="270"/>
        </w:tabs>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c.</w:t>
      </w:r>
      <w:r>
        <w:rPr>
          <w:rFonts w:ascii="Times New Roman" w:hAnsi="Times New Roman"/>
          <w:sz w:val="24"/>
          <w:szCs w:val="24"/>
        </w:rPr>
        <w:t xml:space="preserve"> </w:t>
      </w:r>
      <w:r w:rsidRPr="000D672C">
        <w:rPr>
          <w:rFonts w:ascii="Times New Roman" w:hAnsi="Times New Roman"/>
          <w:sz w:val="24"/>
          <w:szCs w:val="24"/>
        </w:rPr>
        <w:t>recomandare pentru investigaţii paraclinice în vederea stabilirii diagnosticului şi pentru monitorizare;</w:t>
      </w:r>
    </w:p>
    <w:p w:rsidR="00A354E0" w:rsidRPr="000D672C" w:rsidRDefault="00A354E0" w:rsidP="00BC47CC">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w:t>
      </w:r>
      <w:r>
        <w:rPr>
          <w:rFonts w:ascii="Times New Roman" w:hAnsi="Times New Roman"/>
          <w:sz w:val="24"/>
          <w:szCs w:val="24"/>
        </w:rPr>
        <w:t xml:space="preserve"> </w:t>
      </w:r>
      <w:r w:rsidRPr="000D672C">
        <w:rPr>
          <w:rFonts w:ascii="Times New Roman" w:hAnsi="Times New Roman"/>
          <w:sz w:val="24"/>
          <w:szCs w:val="24"/>
        </w:rPr>
        <w:t>d. manevre de mică chirurgie, după caz;</w:t>
      </w:r>
    </w:p>
    <w:p w:rsidR="00A354E0" w:rsidRPr="000D672C" w:rsidRDefault="00A354E0" w:rsidP="004B5FB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D672C">
        <w:rPr>
          <w:rFonts w:ascii="Times New Roman" w:hAnsi="Times New Roman"/>
          <w:sz w:val="24"/>
          <w:szCs w:val="24"/>
        </w:rPr>
        <w:t>e. stabilirea conduitei terapeutice şi/sau prescrierea tratamentului medical şi igieno-dietetic, precum şi instruirea asiguratului în legătură cu măsurile terapeutice şi profilactice;</w:t>
      </w:r>
    </w:p>
    <w:p w:rsidR="00A354E0" w:rsidRPr="00A339D3" w:rsidRDefault="00A354E0" w:rsidP="004B5FB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339D3">
        <w:rPr>
          <w:rFonts w:ascii="Times New Roman" w:hAnsi="Times New Roman"/>
          <w:sz w:val="24"/>
          <w:szCs w:val="24"/>
        </w:rPr>
        <w:t>f. bilet de trimitere pentru consultaţie la medicul de specialitate din ambulatoriu inclusiv pentru servicii de îngrijiri paliative în ambulatoriu, după caz, sau pentru internare în spital pentru cazurile care necesită aceasta sau care depăşesc competenţa medicului de familie;</w:t>
      </w:r>
    </w:p>
    <w:p w:rsidR="00A354E0" w:rsidRPr="00A339D3" w:rsidRDefault="00A354E0" w:rsidP="004B5FB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339D3">
        <w:rPr>
          <w:rFonts w:ascii="Times New Roman" w:hAnsi="Times New Roman"/>
          <w:sz w:val="24"/>
          <w:szCs w:val="24"/>
        </w:rPr>
        <w:t>g. recomandare pentru tratament de  medicină fizică şi de reabilitare  în ambulatoriu sau în sanatorii balneare, după caz;</w:t>
      </w:r>
    </w:p>
    <w:p w:rsidR="00A354E0" w:rsidRPr="00A339D3" w:rsidRDefault="00A354E0" w:rsidP="004B5FB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339D3">
        <w:rPr>
          <w:rFonts w:ascii="Times New Roman" w:hAnsi="Times New Roman"/>
          <w:sz w:val="24"/>
          <w:szCs w:val="24"/>
        </w:rPr>
        <w:t>h. recomandare pentru tratament de recuperare în sanatorii şi preventorii, după caz;</w:t>
      </w:r>
    </w:p>
    <w:p w:rsidR="00A354E0" w:rsidRPr="00A339D3" w:rsidRDefault="00A354E0" w:rsidP="00BC47C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339D3">
        <w:rPr>
          <w:rFonts w:ascii="Times New Roman" w:hAnsi="Times New Roman"/>
          <w:sz w:val="24"/>
          <w:szCs w:val="24"/>
        </w:rPr>
        <w:t>i. recomandare pentru dispozitive medicale de protezare stomii şi incontinenţă urinară, după caz;</w:t>
      </w:r>
    </w:p>
    <w:p w:rsidR="00A354E0" w:rsidRDefault="00A354E0" w:rsidP="004B5FB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 xml:space="preserve">    </w:t>
      </w:r>
      <w:r w:rsidRPr="00A339D3">
        <w:rPr>
          <w:rFonts w:ascii="Times New Roman" w:hAnsi="Times New Roman"/>
          <w:sz w:val="24"/>
          <w:szCs w:val="24"/>
        </w:rPr>
        <w:t xml:space="preserve">j. recomandare pentru îngrijiri medicale la domiciliu, după caz; </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A339D3">
        <w:rPr>
          <w:rFonts w:ascii="Times New Roman" w:hAnsi="Times New Roman"/>
          <w:sz w:val="24"/>
          <w:szCs w:val="24"/>
        </w:rPr>
        <w:t xml:space="preserve">    1.1.2.1. Consultaţiile la cabinet pentru afecţiuni acute/subacute sau acutizări ale unor afecţiuni cronice se vor acorda conform recomandărilor medicale, iar la domiciliu se au în vedere şi prevederile </w:t>
      </w:r>
      <w:r w:rsidRPr="000D672C">
        <w:rPr>
          <w:rFonts w:ascii="Times New Roman" w:hAnsi="Times New Roman"/>
          <w:sz w:val="24"/>
          <w:szCs w:val="24"/>
        </w:rPr>
        <w:t>de la punctul 1.3. Pentru fiecare episod de boală acută/subacută sau acutizare a unor afecţiuni cronice/asigurat se decontează maxim două consultaţii.</w:t>
      </w:r>
    </w:p>
    <w:p w:rsidR="00A354E0"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NOTĂ: Medicul de familie consemnează în biletul de trimitere sau ataşează la acesta, în copie, rezultatele investigaţiilor paraclinice efectuate atunci când acestea au fost necesare pentru a susţine şi/sau confirma diagnosticul menţionat pe biletul de trimitere şi data la care au fost efectuate, precum şi data şi perioada pentru care a fost eliberată ultima prescripţie medicală şi tratamentul prescris, dacă este cazul.</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w:t>
      </w:r>
      <w:r w:rsidRPr="000D672C">
        <w:rPr>
          <w:rFonts w:ascii="Times New Roman" w:hAnsi="Times New Roman"/>
          <w:b/>
          <w:bCs/>
          <w:sz w:val="24"/>
          <w:szCs w:val="24"/>
        </w:rPr>
        <w:t>1.1.3.</w:t>
      </w:r>
      <w:r w:rsidRPr="000D672C">
        <w:rPr>
          <w:rFonts w:ascii="Times New Roman" w:hAnsi="Times New Roman"/>
          <w:sz w:val="24"/>
          <w:szCs w:val="24"/>
        </w:rPr>
        <w:t xml:space="preserve"> Consultaţii periodice pentru îngrijirea generală a asiguraţilor cu boli cronice - se vor realiza pe bază de programare pentru:</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 supravegherea evoluţiei bolii;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b) continuitatea terapiei;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c) screeningul complicaţiilor;</w:t>
      </w:r>
    </w:p>
    <w:p w:rsidR="00A354E0" w:rsidRPr="00F02B48" w:rsidRDefault="00A354E0" w:rsidP="00042675">
      <w:pPr>
        <w:autoSpaceDE w:val="0"/>
        <w:autoSpaceDN w:val="0"/>
        <w:adjustRightInd w:val="0"/>
        <w:spacing w:after="0" w:line="240" w:lineRule="auto"/>
        <w:jc w:val="both"/>
        <w:rPr>
          <w:rFonts w:ascii="Times New Roman" w:hAnsi="Times New Roman"/>
          <w:color w:val="000000"/>
          <w:sz w:val="24"/>
          <w:szCs w:val="24"/>
        </w:rPr>
      </w:pPr>
      <w:r w:rsidRPr="00F02B48">
        <w:rPr>
          <w:rFonts w:ascii="Times New Roman" w:hAnsi="Times New Roman"/>
          <w:color w:val="000000"/>
          <w:sz w:val="24"/>
          <w:szCs w:val="24"/>
        </w:rPr>
        <w:t xml:space="preserve">    d) educaţia asiguratului şi /sau a aparţinătorilor privind îngrijirea şi autoîngrijirea.</w:t>
      </w:r>
    </w:p>
    <w:p w:rsidR="00A354E0" w:rsidRPr="00F02B48" w:rsidRDefault="00A354E0" w:rsidP="00042675">
      <w:pPr>
        <w:autoSpaceDE w:val="0"/>
        <w:autoSpaceDN w:val="0"/>
        <w:adjustRightInd w:val="0"/>
        <w:spacing w:after="0" w:line="240" w:lineRule="auto"/>
        <w:jc w:val="both"/>
        <w:rPr>
          <w:rFonts w:ascii="Times New Roman" w:hAnsi="Times New Roman"/>
          <w:sz w:val="24"/>
          <w:szCs w:val="24"/>
        </w:rPr>
      </w:pPr>
      <w:r w:rsidRPr="00F02B48">
        <w:rPr>
          <w:rFonts w:ascii="Times New Roman" w:hAnsi="Times New Roman"/>
          <w:sz w:val="24"/>
          <w:szCs w:val="24"/>
        </w:rPr>
        <w:t xml:space="preserve">Consultațiile cuprind, după caz, actitivitățile de la punctele </w:t>
      </w:r>
      <w:r w:rsidRPr="00806EF1">
        <w:rPr>
          <w:rFonts w:ascii="Times New Roman" w:hAnsi="Times New Roman"/>
          <w:color w:val="000000"/>
          <w:sz w:val="24"/>
          <w:szCs w:val="24"/>
        </w:rPr>
        <w:t xml:space="preserve">a. – j. </w:t>
      </w:r>
      <w:r w:rsidRPr="00F02B48">
        <w:rPr>
          <w:rFonts w:ascii="Times New Roman" w:hAnsi="Times New Roman"/>
          <w:sz w:val="24"/>
          <w:szCs w:val="24"/>
        </w:rPr>
        <w:t>prevăzute la 1.1.2.</w:t>
      </w:r>
    </w:p>
    <w:p w:rsidR="00A354E0"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1.1.3.1. Consultaţiile în cabinet pentru afecţiunile cronice se vor acorda conform planului de management stabilit de către medic, iar la domiciliu conform planului de management stabilit de către medic şi în condiţiile prevederilor de la punctul 1.3. Pentru toate afecţiunile cronice/asigurat se decontează o consultaţie pe lună.</w:t>
      </w:r>
    </w:p>
    <w:p w:rsidR="00A354E0" w:rsidRPr="00F02B48"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w:t>
      </w:r>
      <w:r w:rsidRPr="000D672C">
        <w:rPr>
          <w:rFonts w:ascii="Times New Roman" w:hAnsi="Times New Roman"/>
          <w:b/>
          <w:bCs/>
          <w:sz w:val="24"/>
          <w:szCs w:val="24"/>
        </w:rPr>
        <w:t>1.1.4.</w:t>
      </w:r>
      <w:r w:rsidRPr="000D672C">
        <w:rPr>
          <w:rFonts w:ascii="Times New Roman" w:hAnsi="Times New Roman"/>
          <w:sz w:val="24"/>
          <w:szCs w:val="24"/>
        </w:rPr>
        <w:t xml:space="preserve"> Consultaţii de monitorizare activă prin plan de management integrat pe bază de </w:t>
      </w:r>
      <w:r w:rsidRPr="00683F52">
        <w:rPr>
          <w:rFonts w:ascii="Times New Roman" w:hAnsi="Times New Roman"/>
          <w:sz w:val="24"/>
          <w:szCs w:val="24"/>
        </w:rPr>
        <w:t xml:space="preserve">programare, pentru bolile cronice cu impact major asupra poverii îmbolnăvirilor privind: riscul cardiovascular înalt - HTA, dislipidemie şi diabet zaharat tip 2; astmul bronşic; boala cronică respiratorie obstructivă </w:t>
      </w:r>
      <w:r w:rsidRPr="00683F52">
        <w:rPr>
          <w:rFonts w:ascii="Times New Roman" w:hAnsi="Times New Roman"/>
          <w:strike/>
          <w:sz w:val="24"/>
          <w:szCs w:val="24"/>
        </w:rPr>
        <w:t xml:space="preserve">– </w:t>
      </w:r>
      <w:r w:rsidRPr="00F02B48">
        <w:rPr>
          <w:rFonts w:ascii="Times New Roman" w:hAnsi="Times New Roman"/>
          <w:sz w:val="24"/>
          <w:szCs w:val="24"/>
        </w:rPr>
        <w:t>BPOC şi boală cronică de rinichi.</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683F52">
        <w:rPr>
          <w:rFonts w:ascii="Times New Roman" w:hAnsi="Times New Roman"/>
          <w:sz w:val="24"/>
          <w:szCs w:val="24"/>
        </w:rPr>
        <w:t xml:space="preserve">    1.1.4.1. Consultaţiile de monitorizare activă acoperă următoarele: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 Evaluarea iniţială a cazului nou depistat în primul trimestru după luarea în evidenţă, episod ce poate include trei consultaţii la medicul de familie ce pot fi acordate într-un interval de maxim 3 luni consecutive - bilanţ clinic iniţial care include screeningul complicaţiilor, iniţierea şi ajustarea terapiei până la obţinerea răspunsului terapeutic preconizat, educaţia pacientului, recomandare pentru investigaţii paraclinice, bilet de trimitere pentru cazurile care necesită consultaţii de specialitate sau care depăşesc competenţa medicului de familie;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b) Monitorizarea pacientului cuprinde doua consultaţii programate care includ evaluarea controlului bolii, screeningul complicaţiilor, educaţia pacientului, investigaţii paraclinice şi tratament şi o nouă monitorizare se face după 6 luni consecutive, calculate faţă de luna în care a fost efectuată cea de a doua consultaţie din cadrul monitorizării anterioare a managementului de caz.</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1.1.4.2. Managementul integrat al factorilor de risc cardiovascular - HTA, dislipidemie şi diabet zaharat tip 2</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 Evaluarea iniţială a cazului nou depistat constă în: evaluarea afectării organelor ţintă; stratificarea nivelului de risc; stabilirea planului de management: stabilirea obiectivelor clinice; iniţierea intervenţiilor de modificare a riscului, evaluarea răspunsului, ajustarea terapiei pentru atingerea valorilor ţintă specifice cazului.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Consultaţia în cadrul evaluării iniţiale cuprinde: anamneza; examen clinic în cabinetul medicului de familie: inspecţie, ascultaţie şi palpare pentru evidenţierea semnelor de afectare a organelor ţintă, evidenţierea semnelor clinice pentru comorbidităţi care pot induce HTA secundară, măsurarea circumferinţei abdominale, examinarea piciorului pentru pacienţii cu diabet zaharat tip 2, măsurarea TA; bilet de trimitere pentru consultaţie de specialitate/investigaţii paraclinice în vederea efectuării: hemoleucogramă completă, glicemie, profil lipidic complet, ionogramă serică, acid uric seric, creatinină serică, microalbuminurie, EKG;</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Intervenţiile de modificare a riscului includ: sfaturi pentru modificarea stilului de viaţă, fumat, dietă, activitate fizică; intervenţii de reducere a factorilor de risc individuali la valorile ţintă stabilite ca obiective terapeutice - TA, colesterol, glicemie - prin modificarea stilului de viaţă şi/sau terapie medicamentoasă; educaţie pentru auto-îngrijire.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NOTĂ: Pentru iniţierea şi ajustarea terapiei medicamentoase cu antidiabetice orale pentru diabetul zaharat de tip 2, este necesară recomandare de la medicul de specialitate/atestat în diabet, nutriţie şi boli metabolice.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b. Monitorizare activă a pacientului cu risc cardiovascular - HTA, dislipidemie şi diabet zaharat tip 2, cuprinde: bilanţul periodic al controlului terapeutic; evaluarea evoluţiei afecţiunii - screening-ul complicaţiilor/afectarea organelor ţintă; tratament/ajustarea medicaţiei, după caz.</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NOTĂ: Pentru tratamentul şi ajustarea medicaţiei cu antidiabetice orale pentru diabetul zaharat de tip 2, este necesară recomandare de la medicul de specialitate/atestat în diabet, nutriţie şi boli metabolice</w:t>
      </w:r>
      <w:r>
        <w:rPr>
          <w:rFonts w:ascii="Times New Roman" w:hAnsi="Times New Roman"/>
          <w:sz w:val="24"/>
          <w:szCs w:val="24"/>
        </w:rPr>
        <w:t>.</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Consultaţiile în cadrul monitorizării active includ: examen clinic în cabinetul medicului de familie; bilet de trimitere - management de caz, pentru investigaţii paraclinice specifice respectiv hemoleucogramă completă, glicemie, profil lipidic complet, ionogramă serică, acid uric seric, creatinină serică, microalbuminurie, EKG, dozare proteină urinară, în funcţie de nivelul de risc; bilet de trimitere - management de caz, în funcţie de nivelul de risc pentru consultaţie de specialitate la cardiologie, medicină internă, diabet zaharat, nutriţie şi boli metabolice, oftalmologie, nefrologie; sfaturi igieno-dietetice şi educaţie pentru auto-îngrijire.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Criterii de încadrare în nivel de risc:</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I. Nivel de risc scăzut: SCORE &lt; 1 plus 155 &lt; LDL-C &lt; 190 mg/dl şi/sau 140/90 &lt; TA &lt; 160/99 (TAS şi/sau TAD)</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II. Nivel de risc mediu: SCORE &lt; 5 plus LDL-C &gt; 70 mg/dl şi/sau 160/90 &lt; TA &lt; 179/109 şi/sau 1 - 2 FRS</w:t>
      </w:r>
    </w:p>
    <w:p w:rsidR="00A354E0" w:rsidRPr="00683F52"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III. Nivel de risc înalt şi foarte înalt: SCORE &gt; 5 şi/sau LDL-C &gt; 100 mg/dl şi/sau TA &gt; 180/110, şi/</w:t>
      </w:r>
      <w:r w:rsidRPr="00683F52">
        <w:rPr>
          <w:rFonts w:ascii="Times New Roman" w:hAnsi="Times New Roman"/>
          <w:sz w:val="24"/>
          <w:szCs w:val="24"/>
        </w:rPr>
        <w:t>sau afectarea organelor ţintă, şi/sau boală renală şi/sau prezenţa concomitentă a DZ şi/sau &gt;/= 3 FRS</w:t>
      </w:r>
    </w:p>
    <w:p w:rsidR="00A354E0" w:rsidRPr="00683F52" w:rsidRDefault="00A354E0" w:rsidP="00042675">
      <w:pPr>
        <w:autoSpaceDE w:val="0"/>
        <w:autoSpaceDN w:val="0"/>
        <w:adjustRightInd w:val="0"/>
        <w:spacing w:after="0" w:line="240" w:lineRule="auto"/>
        <w:jc w:val="both"/>
        <w:rPr>
          <w:rFonts w:ascii="Times New Roman" w:hAnsi="Times New Roman"/>
          <w:sz w:val="24"/>
          <w:szCs w:val="24"/>
        </w:rPr>
      </w:pPr>
      <w:r w:rsidRPr="00683F52">
        <w:rPr>
          <w:rFonts w:ascii="Times New Roman" w:hAnsi="Times New Roman"/>
          <w:sz w:val="24"/>
          <w:szCs w:val="24"/>
        </w:rPr>
        <w:t xml:space="preserve">    1.1.4.3. Managementul bolilor respiratorii cronice - astm bronşic şi boala cronică respiratorie obstructivă - BPOC:</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683F52">
        <w:rPr>
          <w:rFonts w:ascii="Times New Roman" w:hAnsi="Times New Roman"/>
          <w:sz w:val="24"/>
          <w:szCs w:val="24"/>
        </w:rPr>
        <w:t xml:space="preserve">    a. Evaluarea iniţială a cazului</w:t>
      </w:r>
      <w:r w:rsidRPr="000D672C">
        <w:rPr>
          <w:rFonts w:ascii="Times New Roman" w:hAnsi="Times New Roman"/>
          <w:sz w:val="24"/>
          <w:szCs w:val="24"/>
        </w:rPr>
        <w:t xml:space="preserve"> nou depistat constă în: stratificarea nivelului de severitate; întocmirea unui plan de management al pacientului cu caz nou confirmat şi iniţierea terapiei.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Consultaţia în cadrul evaluării iniţiale cuprinde: anamneză factori declanşatori, istoric personal şi familial; examen clinic în cabinetul medicului de familie: inspecţie, auscultaţie şi palpare pentru evidenţierea semnelor de afectare a organelor ţintă, evidenţierea semnelor clinice pentru comorbidităţi; trimitere pentru investigaţii paraclinice/explorări funcţionale: hemoleucogramă completă, spirometrie, peak-flowmetrie, radiografie pulmonară; trimitere pentru consultaţie de specialitate la pneumologie, pediatrie, alergologie şi medicină internă, după caz;</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Iniţierea intervenţiilor terapeutice include: sfaturi pentru modificarea stilului de viaţă - fumat, dietă, activitate fizică +/- consiliere suport specializat;</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a.1. Pentru astm bronşic - ţinta terapeutică este reprezentată de controlul simptomelor cu combinaţia farmacologică şi în dozele cele mai mici posibile: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a.1.1. </w:t>
      </w:r>
      <w:r>
        <w:rPr>
          <w:rFonts w:ascii="Times New Roman" w:hAnsi="Times New Roman"/>
          <w:sz w:val="24"/>
          <w:szCs w:val="24"/>
        </w:rPr>
        <w:t>-</w:t>
      </w:r>
      <w:r w:rsidRPr="000D672C">
        <w:rPr>
          <w:rFonts w:ascii="Times New Roman" w:hAnsi="Times New Roman"/>
          <w:sz w:val="24"/>
          <w:szCs w:val="24"/>
        </w:rPr>
        <w:t>astm bronşic controlat - limitarea simptomelor diurne şi a consumului de beta2 agonist la nevoie în &lt;/= 2 ocazii/săptămână, absenţa simptomelor nocturne, fără limitarea activităţii, funcţie pulmonară normală, absenţa exacerbărilor;</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a.1.2.</w:t>
      </w:r>
      <w:r>
        <w:rPr>
          <w:rFonts w:ascii="Times New Roman" w:hAnsi="Times New Roman"/>
          <w:sz w:val="24"/>
          <w:szCs w:val="24"/>
        </w:rPr>
        <w:t>-</w:t>
      </w:r>
      <w:r w:rsidRPr="000D672C">
        <w:rPr>
          <w:rFonts w:ascii="Times New Roman" w:hAnsi="Times New Roman"/>
          <w:sz w:val="24"/>
          <w:szCs w:val="24"/>
        </w:rPr>
        <w:t xml:space="preserve"> astm bronşic parţial controlat - limitarea simptomelor diurne şi a consumului de beta2 agonist la nevoie în &gt; 2 ocazii/săptămână, prezenţa simptomelor nocturne, funcţie pulmonară &lt; 80% din valoarea cea mai bună (sau prezisă), cu limitarea activităţii, cu una/mai multe exacerbări în ultimul an;</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a.1.3. - astm bronşic necontrolat - trei sau mai multe caracteristici de astm bronşic parţial controlat prezente în orice săptămână plus o exacerbare.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Iniţierea medicaţiei la pacientul nou diagnosticat se face cu medicaţie de treapta II sau III, funcţie de intensitatea simptomelor.</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a.2. Pentru BPOC - ţinta terapeutică este reprezentată de renunţarea la fumat şi controlul simptomelor, cu mijloace terapeutice adecvate stadiului bolii: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a.2.1. toţi pacienţii: educaţie intensivă pentru renunţare la fumat, evitarea altor factori de risc, dietă, activitate fizică, reguli de viaţă, vaccinare antigripală;</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a.2.2. toţi pacienţii cu BPOC confirmaţi spirometric şi încadraţi în stadiul de severitate I - II cu dispnee - iniţiere terapie de linia I (bronhodilatator cu durată scurtă de acţiune - uneori) sau de linia II (bronhodilatator cu durată lungă de acţiune - dacă este necesar)</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a.2.3. - bilet de trimitere la medicul de specialitate - pacienţii cu BPOC confirmaţi spirometric şi încadraţi în stadiul de severitate III şi IV pentru iniţiere terapie combinată respectiv oxigenoterapie sau/şi pacienţi cu suspiciune de BPOC, pentru confirmare diagnostică.</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b. Monitorizarea activă a cazului luat în evidenţă cuprinde: reevaluarea nivelului de severitate/nivelului de control al bolii şi identificarea eventualelor cauze de control inadecvat; educaţia pacientului privind boala, evoluţia ei, înţelegerea rolului diferitelor clase de medicamente şi a utilizării lor, înţelegerea rolului pacientului în managementul de lungă durată a bolii, sfatul pentru renunţarea la fumat; evaluarea complianţei la tratament şi ajustarea/continuarea terapiei pentru controlul simptomelor;</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Pentru astm bronşic - ţinta terapeutică - controlul simptomelor cu combinaţia farmacologică şi în dozele cele mai mici posibile.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Pentru BPOC - ţinta terapeutică - renunţarea la fumat şi controlul simptomelor, cu mijloace terapeutice adecvate stadiului bolii şi prevenirea exacerbărilor.</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Consultaţiile în cadrul monitorizării active includ: anamneză, factori declanşatori cauze de control inadecvat; examen clinic în cabinetul medicului de familie: inspecţie, auscultaţie şi palpare pentru evidenţierea semnelor de afectare a organelor ţintă, evidenţierea semnelor clinice pentru comorbidităţi; evaluarea riscului de exacerbare a BPOC; bilet de trimitere - management de caz, în funcţie de severitate - pentru efectuarea de investigaţii paraclinice pentru stabilirea severităţii/nivelului de control şi monitorizarea evoluţiei astmului bronşic şi BPOC: spirometrie, hemoleucogramă completă şi dacă se suspectează complicaţii - radiografie pulmonară, după caz; bilet de trimitere - management de caz, în funcţie de severitate - pentru evaluare la medicul de specialitate pneumologie, pediatrie, alergologie şi medicină internă, după caz.</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Educaţia pacientului: sfaturi pentru modificarea stilului de viaţă: fumat, dietă, activitate fizică +/- consiliere/vaccinare antigripală.</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Evaluarea complianţei la recomandările terapeutice, cu atenţie sporită la complianţa la medicamente şi verificarea la fiecare vizită a înţelegerii utilizării diferitelor clase de medicamente şi a modului de utilizare a dispozitivelor inhalatorii.</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1.1.4.4. Managementul bolii cronice de rinichi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 Evaluarea iniţială a cazului nou depistat constă în: evaluarea gradului de risc în funcţie de filtratul glomerular, albuminurie şi boala renală primară; stabilirea obiectivelor terapeutice şi întocmirea planului de îngrijire al pacientului confirmat (obiective terapeutice) şi iniţierea terapiei.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Consultaţia în cadrul evaluării iniţiale cuprinde: anamneză (antecedente familiale şi personale, expunere la nefrotoxice, istoric al afectării renale şi al co-morbidităţilor relevante); examen clinic complet; bilet de trimitere pentru investigaţii paraclinice: creatinină serică cu determinarea ratei de filtrare glomerulară estimată - eRFG, examen sumar de urină, albumină/creatinină urinară, ecografie de organ - renală; bilet de trimitere pentru consultaţie de specialitate la nefrolog a pacienţilor cu risc mediu-mare (raport albumină/creatinină peste 300 mg/g, eRFG mai mic de 45 mL/min sau hematurie microscopică de cauză non-urologică), hipertensiune arterială necontrolată.</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Iniţierea terapiei include: consiliere pentru schimbarea stilului de viaţă: renunţare la fumat, dietă hiposodată, activitate fizică; tratament medicamentos vizând controlul presiunii arteriale (conform obiectivului terapeutic individual), al proteinuriei, al declinului eRFG şi al dislipidemiei, după caz; educaţia pacientului pentru auto-îngrijire.</w:t>
      </w:r>
    </w:p>
    <w:p w:rsidR="00A354E0"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b. Monitorizarea activă a cazului luat în evidenţă: bilanţul periodic al controlului terapeutic (presiune arterială, raport albumină/creatinină urinară, declin eRFG); revizuirea medicaţiei (medicamente, doze), după caz; evaluarea aderenţei la programul terapeutic (dietă, medicaţie); bilet de trimitere - management de caz, pentru investigaţii paraclinice creatinină serică cu determinarea ratei de filtrare glomerulară estimată - eRFG, albumină/creatinină urinară; bilet de trimitere - management de caz, pentru evaluare la medicul de specialitate nefrologie.</w:t>
      </w:r>
    </w:p>
    <w:p w:rsidR="00A354E0" w:rsidRDefault="00A354E0" w:rsidP="00042675">
      <w:pPr>
        <w:autoSpaceDE w:val="0"/>
        <w:autoSpaceDN w:val="0"/>
        <w:adjustRightInd w:val="0"/>
        <w:spacing w:after="0" w:line="240" w:lineRule="auto"/>
        <w:jc w:val="both"/>
        <w:rPr>
          <w:rFonts w:ascii="Times New Roman" w:hAnsi="Times New Roman"/>
          <w:sz w:val="24"/>
          <w:szCs w:val="24"/>
        </w:rPr>
      </w:pPr>
    </w:p>
    <w:p w:rsidR="00A354E0" w:rsidRPr="000D672C" w:rsidRDefault="00A354E0" w:rsidP="00042675">
      <w:pPr>
        <w:autoSpaceDE w:val="0"/>
        <w:autoSpaceDN w:val="0"/>
        <w:adjustRightInd w:val="0"/>
        <w:spacing w:after="0" w:line="240" w:lineRule="auto"/>
        <w:jc w:val="both"/>
        <w:rPr>
          <w:rFonts w:ascii="Times New Roman" w:hAnsi="Times New Roman"/>
          <w:b/>
          <w:bCs/>
          <w:sz w:val="24"/>
          <w:szCs w:val="24"/>
        </w:rPr>
      </w:pPr>
      <w:r w:rsidRPr="000D672C">
        <w:rPr>
          <w:rFonts w:ascii="Times New Roman" w:hAnsi="Times New Roman"/>
          <w:sz w:val="24"/>
          <w:szCs w:val="24"/>
        </w:rPr>
        <w:t xml:space="preserve">    </w:t>
      </w:r>
      <w:r w:rsidRPr="000D672C">
        <w:rPr>
          <w:rFonts w:ascii="Times New Roman" w:hAnsi="Times New Roman"/>
          <w:b/>
          <w:bCs/>
          <w:sz w:val="24"/>
          <w:szCs w:val="24"/>
        </w:rPr>
        <w:t>1.2. Serviciile medicale preventive şi profilactice</w:t>
      </w:r>
      <w:r>
        <w:rPr>
          <w:rFonts w:ascii="Times New Roman" w:hAnsi="Times New Roman"/>
          <w:b/>
          <w:bCs/>
          <w:sz w:val="24"/>
          <w:szCs w:val="24"/>
        </w:rPr>
        <w:t xml:space="preserve"> </w:t>
      </w:r>
      <w:r w:rsidRPr="00F02B48">
        <w:rPr>
          <w:rFonts w:ascii="Times New Roman" w:hAnsi="Times New Roman"/>
          <w:b/>
          <w:bCs/>
          <w:sz w:val="24"/>
          <w:szCs w:val="24"/>
        </w:rPr>
        <w:t>includ:</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b/>
          <w:bCs/>
          <w:sz w:val="24"/>
          <w:szCs w:val="24"/>
        </w:rPr>
        <w:t xml:space="preserve">    1.2.1.</w:t>
      </w:r>
      <w:r>
        <w:rPr>
          <w:rFonts w:ascii="Times New Roman" w:hAnsi="Times New Roman"/>
          <w:sz w:val="24"/>
          <w:szCs w:val="24"/>
        </w:rPr>
        <w:t xml:space="preserve"> Consultaţii</w:t>
      </w:r>
      <w:r w:rsidRPr="000D672C">
        <w:rPr>
          <w:rFonts w:ascii="Times New Roman" w:hAnsi="Times New Roman"/>
          <w:sz w:val="24"/>
          <w:szCs w:val="24"/>
        </w:rPr>
        <w:t xml:space="preserve"> preventive </w:t>
      </w:r>
      <w:r>
        <w:rPr>
          <w:rFonts w:ascii="Times New Roman" w:hAnsi="Times New Roman"/>
          <w:sz w:val="24"/>
          <w:szCs w:val="24"/>
        </w:rPr>
        <w:t xml:space="preserve">- </w:t>
      </w:r>
      <w:r w:rsidRPr="000D672C">
        <w:rPr>
          <w:rFonts w:ascii="Times New Roman" w:hAnsi="Times New Roman"/>
          <w:sz w:val="24"/>
          <w:szCs w:val="24"/>
        </w:rPr>
        <w:t>sunt consultaţii periodice active oferite persoanelor cu vârsta între 0 - 18 ani privind:</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 creşterea şi dezvoltarea;</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b. starea de nutriţie şi practicile nutriţionale;</w:t>
      </w:r>
    </w:p>
    <w:p w:rsidR="00A354E0" w:rsidRPr="00AA58F7"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w:t>
      </w:r>
      <w:r>
        <w:rPr>
          <w:rFonts w:ascii="Times New Roman" w:hAnsi="Times New Roman"/>
          <w:sz w:val="24"/>
          <w:szCs w:val="24"/>
        </w:rPr>
        <w:t xml:space="preserve"> </w:t>
      </w:r>
      <w:r w:rsidRPr="000D672C">
        <w:rPr>
          <w:rFonts w:ascii="Times New Roman" w:hAnsi="Times New Roman"/>
          <w:sz w:val="24"/>
          <w:szCs w:val="24"/>
        </w:rPr>
        <w:t xml:space="preserve">c. depistarea şi intervenţia în consecinţă pentru riscurile specifice grupei de vârstă/sex;  serviciile </w:t>
      </w:r>
      <w:r w:rsidRPr="00AA58F7">
        <w:rPr>
          <w:rFonts w:ascii="Times New Roman" w:hAnsi="Times New Roman"/>
          <w:sz w:val="24"/>
          <w:szCs w:val="24"/>
        </w:rPr>
        <w:t xml:space="preserve">preventive pentru copii pe grupe de vârstă şi sex, conform anexei nr. </w:t>
      </w:r>
      <w:r w:rsidRPr="00DE19C3">
        <w:rPr>
          <w:rFonts w:ascii="Times New Roman" w:hAnsi="Times New Roman"/>
          <w:color w:val="000000"/>
          <w:sz w:val="24"/>
          <w:szCs w:val="24"/>
        </w:rPr>
        <w:t>2 B</w:t>
      </w:r>
      <w:r>
        <w:rPr>
          <w:rFonts w:ascii="Times New Roman" w:hAnsi="Times New Roman"/>
          <w:sz w:val="24"/>
          <w:szCs w:val="24"/>
        </w:rPr>
        <w:t xml:space="preserve"> </w:t>
      </w:r>
      <w:r w:rsidRPr="00AA58F7">
        <w:rPr>
          <w:rFonts w:ascii="Times New Roman" w:hAnsi="Times New Roman"/>
          <w:sz w:val="24"/>
          <w:szCs w:val="24"/>
        </w:rPr>
        <w:t>la ordin.</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1.2.1.1. Frecvenţa efectuării consultaţiilor se va realiza după cum urmează:</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 la externarea din maternitate şi la 1 lună - la domiciliul copilului;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b) la 2, 4, 6, 9, 12, 15, 18, 24, 36 luni;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c) o dată pe an de la 4 la 18 ani.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NOTA 1: În cadrul consultaţiilor preventive copii cu vârsta cuprinsă între 2 şi 18 ani, beneficiază anual de investigaţii paraclinice - analize de laborator, pe baza biletului de trimitere eliberat de medicul de familie, dacă în anul în care se acordă consultaţiile preventive de evaluare a riscului individual, nu au efectuat aceste investigaţii. Biletul de trimitere se întocmeşte distinct pentru aceste investigaţii paraclinice cu completarea câmpului corespunzător prevenţiei.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Investigaţiile paraclinice recomandate pentru prevenţie sunt:</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a. Vârsta cuprinsă între 2 ani şi 5 ani inclusiv:</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1. Pentru screeningul anemiei:</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Hemoleucograma completă</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Sideremie</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2. Pentru screeningul rahitismului:</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Calciu seric total</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Calciu ionic seric</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Fosfor</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Fosfatază alcalină</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b. Vârsta cuprinsă între 6 ani şi 9 ani inclusiv</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Pentru screeningul sindromului dismetabolic pentru copii cu indicele de masă corporală - (IMC) crescut sau la cei cu istoric de hipercolesterolemie familială</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Proteine totale serice</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LDL colesterol</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Trigliceride serice</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Glicemie</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TGP</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TGO</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TSH</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FT4</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c. Vârsta cuprinsă între 10 ani şi 17 ani inclusiv</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1. Pentru profilaxia sindromului dismetabolic pentru indice de masă corporală - (IMC) crescut sau la cei cu istoric de hipercolesterolemie familială</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LDL colesterol</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Trigliceride serice</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Glicemie</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TGP</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TGO</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TSH</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FT4</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2. Pentru screening BTS (după începerea vieţii sexuale)</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VDRL sau RPR</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NOTA 2: Furnizorul de analize de laborator efectuează fără recomandarea medicului de familie examenul citologic al frotiului sangvin (numai dacă este efectuat de medicul de laborator sau de specialişti cu studii superioare nemedicale care au specializare în hematologie) în cazul în care hemoleucograma completă prezintă modificări de parametri, respectiv efectuează TPHA în situaţia în care VDRL sau RPR este pozitiv.</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w:t>
      </w:r>
      <w:r w:rsidRPr="000D672C">
        <w:rPr>
          <w:rFonts w:ascii="Times New Roman" w:hAnsi="Times New Roman"/>
          <w:b/>
          <w:bCs/>
          <w:sz w:val="24"/>
          <w:szCs w:val="24"/>
        </w:rPr>
        <w:t>1.2.2.</w:t>
      </w:r>
      <w:r w:rsidRPr="000D672C">
        <w:rPr>
          <w:rFonts w:ascii="Times New Roman" w:hAnsi="Times New Roman"/>
          <w:sz w:val="24"/>
          <w:szCs w:val="24"/>
        </w:rPr>
        <w:t xml:space="preserve"> Consultaţii în vederea monitorizării evoluţiei sarcinii şi lăuziei, conform prevederilor legale în vigoare: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 luarea în evidenţă în primul trimestru; se decontează o consultaţie;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b) supravegherea, lunar, din luna a 3-a până în luna a 7-a se decontează o consultaţie/lună. În situaţia în care luarea în evidenţă a gravidei are loc în luna a 3-a, pentru această lună se va raporta casei de asigurări de sănătate numai luarea în evidenţă a gravidei, nu şi supravegherea;</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c) supravegherea, de două ori pe lună, din luna a 7-a până în luna a 9-a inclusiv; se decontează două consultaţii/lună;</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d) urmărirea lehuzei la externarea din maternitate - la domiciliu; se decontează o consultaţie;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e) urmărirea lehuzei la 4 săptămâni de la naştere; se decontează o consultaţie.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1.2.2.1. În cadrul supravegherii gravidei se face promovarea alimentaţiei exclusive la sân a copilului până la vârsta de 6 luni şi continuarea acesteia până la minim 12 luni, </w:t>
      </w:r>
      <w:r w:rsidRPr="005327F1">
        <w:rPr>
          <w:rFonts w:ascii="Times New Roman" w:hAnsi="Times New Roman"/>
          <w:color w:val="000000"/>
          <w:sz w:val="24"/>
          <w:szCs w:val="24"/>
        </w:rPr>
        <w:t>recomandare</w:t>
      </w:r>
      <w:r>
        <w:rPr>
          <w:rFonts w:ascii="Times New Roman" w:hAnsi="Times New Roman"/>
          <w:color w:val="000000"/>
          <w:sz w:val="24"/>
          <w:szCs w:val="24"/>
        </w:rPr>
        <w:t xml:space="preserve"> </w:t>
      </w:r>
      <w:r>
        <w:rPr>
          <w:rFonts w:ascii="Times New Roman" w:hAnsi="Times New Roman"/>
          <w:sz w:val="24"/>
          <w:szCs w:val="24"/>
        </w:rPr>
        <w:t xml:space="preserve"> </w:t>
      </w:r>
      <w:r w:rsidRPr="000D672C">
        <w:rPr>
          <w:rFonts w:ascii="Times New Roman" w:hAnsi="Times New Roman"/>
          <w:sz w:val="24"/>
          <w:szCs w:val="24"/>
        </w:rPr>
        <w:t>testare pentru HIV, hepatită de etiologie virală cu virus B şi C, lues a femeii gravide, precum şi alte investigaţii paraclinice necesare, dintre cele prevăzute în pachetul de bază.</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NOTĂ: În conformitate cu programul de monitorizare, investigaţiile paraclinice şi tratamentele specifice sarcinii pot fi recomandate de către medicul de familie, numai pentru intervalul de timp de la momentul în care gravida este luată în evidenţă de către acesta şi până la 4 săptămâni de la naştere.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w:t>
      </w:r>
      <w:r w:rsidRPr="000D672C">
        <w:rPr>
          <w:rFonts w:ascii="Times New Roman" w:hAnsi="Times New Roman"/>
          <w:b/>
          <w:bCs/>
          <w:sz w:val="24"/>
          <w:szCs w:val="24"/>
        </w:rPr>
        <w:t>1.2.3.</w:t>
      </w:r>
      <w:r w:rsidRPr="000D672C">
        <w:rPr>
          <w:rFonts w:ascii="Times New Roman" w:hAnsi="Times New Roman"/>
          <w:sz w:val="24"/>
          <w:szCs w:val="24"/>
        </w:rPr>
        <w:t xml:space="preserve"> Consultaţii preventive de evaluare a riscului individual la adultul asimptomatic care se acordă la cabinetul medicului de familie în mod activ adulţilor din populaţia generală - fără semne de boală - se vor realiza după cum urmează:</w:t>
      </w:r>
    </w:p>
    <w:p w:rsidR="00A354E0" w:rsidRPr="000D672C" w:rsidRDefault="00A354E0" w:rsidP="00042675">
      <w:pPr>
        <w:autoSpaceDE w:val="0"/>
        <w:autoSpaceDN w:val="0"/>
        <w:adjustRightInd w:val="0"/>
        <w:spacing w:after="0" w:line="240" w:lineRule="auto"/>
        <w:jc w:val="both"/>
        <w:rPr>
          <w:rFonts w:ascii="Times New Roman" w:hAnsi="Times New Roman"/>
          <w:color w:val="000000"/>
          <w:sz w:val="24"/>
          <w:szCs w:val="24"/>
        </w:rPr>
      </w:pPr>
      <w:r w:rsidRPr="000D672C">
        <w:rPr>
          <w:rFonts w:ascii="Times New Roman" w:hAnsi="Times New Roman"/>
          <w:sz w:val="24"/>
          <w:szCs w:val="24"/>
        </w:rPr>
        <w:t xml:space="preserve">    1.2.3.1. Toate persoanele asimptomatice cu vârsta între 18 şi 39 ani - o dată la 3 ani calendaristici, pentru care medicul de familie evaluează expunerea la factorii de risc finalizată prin completarea riscogramei pentru grupa de vârstă şi sex corespunzătoare conform </w:t>
      </w:r>
      <w:r w:rsidRPr="00155BF0">
        <w:rPr>
          <w:rFonts w:ascii="Times New Roman" w:hAnsi="Times New Roman"/>
          <w:sz w:val="24"/>
          <w:szCs w:val="24"/>
        </w:rPr>
        <w:t xml:space="preserve">anexei nr. </w:t>
      </w:r>
      <w:r w:rsidRPr="00AD426E">
        <w:rPr>
          <w:rFonts w:ascii="Times New Roman" w:hAnsi="Times New Roman"/>
          <w:color w:val="000000"/>
          <w:sz w:val="24"/>
          <w:szCs w:val="24"/>
        </w:rPr>
        <w:t>2 B</w:t>
      </w:r>
      <w:r w:rsidRPr="00155BF0">
        <w:rPr>
          <w:rFonts w:ascii="Times New Roman" w:hAnsi="Times New Roman"/>
          <w:sz w:val="24"/>
          <w:szCs w:val="24"/>
        </w:rPr>
        <w:t xml:space="preserve"> </w:t>
      </w:r>
      <w:r w:rsidRPr="000D672C">
        <w:rPr>
          <w:rFonts w:ascii="Times New Roman" w:hAnsi="Times New Roman"/>
          <w:sz w:val="24"/>
          <w:szCs w:val="24"/>
        </w:rPr>
        <w:t xml:space="preserve">la ordin. Se decontează maxim doua consultaţii/asigurat în anul în care se realizează evaluarea riscului individual. Pentru persoanele asimptomatice cu vârsta între 18 şi 39 ani depistate cu risc înalt, consultaţiile preventive de evaluare se acordă anual, conform prevederilor de la punctul 1.2.3.2 şi se decontează maxim doua consultaţii/asigurat, anual. </w:t>
      </w:r>
      <w:r w:rsidRPr="000D672C">
        <w:rPr>
          <w:rFonts w:ascii="Times New Roman" w:hAnsi="Times New Roman"/>
          <w:color w:val="000000"/>
          <w:sz w:val="24"/>
          <w:szCs w:val="24"/>
        </w:rPr>
        <w:t>Cea de-a doua consultație se acordă în maximum 90 de zile de la prima consultație.</w:t>
      </w:r>
    </w:p>
    <w:p w:rsidR="00A354E0" w:rsidRPr="000D672C" w:rsidRDefault="00A354E0" w:rsidP="00042675">
      <w:pPr>
        <w:autoSpaceDE w:val="0"/>
        <w:autoSpaceDN w:val="0"/>
        <w:adjustRightInd w:val="0"/>
        <w:spacing w:after="0" w:line="240" w:lineRule="auto"/>
        <w:jc w:val="both"/>
        <w:rPr>
          <w:rFonts w:ascii="Times New Roman" w:hAnsi="Times New Roman"/>
          <w:color w:val="000000"/>
          <w:sz w:val="24"/>
          <w:szCs w:val="24"/>
        </w:rPr>
      </w:pPr>
      <w:r w:rsidRPr="000D672C">
        <w:rPr>
          <w:rFonts w:ascii="Times New Roman" w:hAnsi="Times New Roman"/>
          <w:sz w:val="24"/>
          <w:szCs w:val="24"/>
        </w:rPr>
        <w:t xml:space="preserve">    1.2.3.2. Toate persoanele asimptomatice cu vârsta &gt; 40 ani, anual - pentru care medicul de familie evaluează expunerea la factorii de risc finalizată prin completarea riscogramei pentru grupa de vârstă şi sex corespunzătoare conform </w:t>
      </w:r>
      <w:r w:rsidRPr="00155BF0">
        <w:rPr>
          <w:rFonts w:ascii="Times New Roman" w:hAnsi="Times New Roman"/>
          <w:sz w:val="24"/>
          <w:szCs w:val="24"/>
        </w:rPr>
        <w:t xml:space="preserve">anexei nr. </w:t>
      </w:r>
      <w:r w:rsidRPr="001A4431">
        <w:rPr>
          <w:rFonts w:ascii="Times New Roman" w:hAnsi="Times New Roman"/>
          <w:color w:val="000000"/>
          <w:sz w:val="24"/>
          <w:szCs w:val="24"/>
        </w:rPr>
        <w:t>2 B</w:t>
      </w:r>
      <w:r w:rsidRPr="00155BF0">
        <w:rPr>
          <w:rFonts w:ascii="Times New Roman" w:hAnsi="Times New Roman"/>
          <w:sz w:val="24"/>
          <w:szCs w:val="24"/>
        </w:rPr>
        <w:t xml:space="preserve"> </w:t>
      </w:r>
      <w:r w:rsidRPr="000D672C">
        <w:rPr>
          <w:rFonts w:ascii="Times New Roman" w:hAnsi="Times New Roman"/>
          <w:sz w:val="24"/>
          <w:szCs w:val="24"/>
        </w:rPr>
        <w:t xml:space="preserve">la ordin. Se decontează maxim doua consultaţii/asigurat, anual. </w:t>
      </w:r>
      <w:r w:rsidRPr="000D672C">
        <w:rPr>
          <w:rFonts w:ascii="Times New Roman" w:hAnsi="Times New Roman"/>
          <w:color w:val="000000"/>
          <w:sz w:val="24"/>
          <w:szCs w:val="24"/>
        </w:rPr>
        <w:t>Cea de-a doua consultație se acordă în maximum 90 de zile de la prima consultație.</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NOTA 1: În cadrul consultaţiilor preventive asiguraţii asimptomatici cu vârsta peste 18 ani, anual respectiv odată la 3 ani, beneficiază de investigaţii paraclinice - analize de laborator, pe baza biletului de trimitere eliberat de medicul de familie, dacă în anul în care se acordă consultaţii preventive de evaluare a riscului individual, nu au efectuat aceste investigaţii. Biletul de trimitere se întocmeşte distinct pentru aceste investigaţii paraclinice cu completarea câmpului corespunzător prevenţiei.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Investigaţiile paraclinice recomandate pentru prevenţie sunt:</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w:t>
      </w:r>
      <w:r w:rsidRPr="000D672C">
        <w:rPr>
          <w:rFonts w:ascii="Times New Roman" w:hAnsi="Times New Roman"/>
          <w:b/>
          <w:bCs/>
          <w:sz w:val="24"/>
          <w:szCs w:val="24"/>
        </w:rPr>
        <w:t>a.</w:t>
      </w:r>
      <w:r w:rsidRPr="000D672C">
        <w:rPr>
          <w:rFonts w:ascii="Times New Roman" w:hAnsi="Times New Roman"/>
          <w:sz w:val="24"/>
          <w:szCs w:val="24"/>
        </w:rPr>
        <w:t xml:space="preserve"> pentru adultul asimptomatic cu vârsta cuprinsă între 18 şi 39 ani</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Hemoleucogramă completă</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VSH</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Glicemie</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Colesterol seric total</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LDL colesterol</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Creatinina serică</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155BF0">
        <w:rPr>
          <w:rFonts w:ascii="Times New Roman" w:hAnsi="Times New Roman"/>
          <w:b/>
          <w:sz w:val="24"/>
          <w:szCs w:val="24"/>
        </w:rPr>
        <w:t xml:space="preserve">    </w:t>
      </w:r>
      <w:r w:rsidRPr="00155BF0">
        <w:rPr>
          <w:rFonts w:ascii="Times New Roman" w:hAnsi="Times New Roman"/>
          <w:b/>
          <w:bCs/>
          <w:sz w:val="24"/>
          <w:szCs w:val="24"/>
        </w:rPr>
        <w:t>b.</w:t>
      </w:r>
      <w:r w:rsidRPr="000D672C">
        <w:rPr>
          <w:rFonts w:ascii="Times New Roman" w:hAnsi="Times New Roman"/>
          <w:sz w:val="24"/>
          <w:szCs w:val="24"/>
        </w:rPr>
        <w:t xml:space="preserve"> pentru femeia cu vârsta între 18 şi 39 ani care planifică o sarcină</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VDRL sau RPR</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155BF0">
        <w:rPr>
          <w:rFonts w:ascii="Times New Roman" w:hAnsi="Times New Roman"/>
          <w:b/>
          <w:sz w:val="24"/>
          <w:szCs w:val="24"/>
        </w:rPr>
        <w:t xml:space="preserve">    </w:t>
      </w:r>
      <w:r w:rsidRPr="00155BF0">
        <w:rPr>
          <w:rFonts w:ascii="Times New Roman" w:hAnsi="Times New Roman"/>
          <w:b/>
          <w:bCs/>
          <w:sz w:val="24"/>
          <w:szCs w:val="24"/>
        </w:rPr>
        <w:t>c.</w:t>
      </w:r>
      <w:r w:rsidRPr="000D672C">
        <w:rPr>
          <w:rFonts w:ascii="Times New Roman" w:hAnsi="Times New Roman"/>
          <w:sz w:val="24"/>
          <w:szCs w:val="24"/>
        </w:rPr>
        <w:t xml:space="preserve"> pentru adultul asimptomatic cu vârsta de 40 de ani şi peste</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Hemoleucogramă completă</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VSH</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Glicemie</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Colesterol seric total</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LDL colesterol</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Creatinina serică</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PSA la bărbaţi</w:t>
      </w:r>
    </w:p>
    <w:p w:rsidR="00A354E0" w:rsidRPr="000D672C" w:rsidRDefault="00A354E0" w:rsidP="00042675">
      <w:pPr>
        <w:autoSpaceDE w:val="0"/>
        <w:autoSpaceDN w:val="0"/>
        <w:adjustRightInd w:val="0"/>
        <w:spacing w:after="0" w:line="240" w:lineRule="auto"/>
        <w:rPr>
          <w:rFonts w:ascii="Times New Roman" w:hAnsi="Times New Roman"/>
          <w:sz w:val="24"/>
          <w:szCs w:val="24"/>
        </w:rPr>
      </w:pPr>
      <w:r w:rsidRPr="000D672C">
        <w:rPr>
          <w:rFonts w:ascii="Times New Roman" w:hAnsi="Times New Roman"/>
          <w:sz w:val="24"/>
          <w:szCs w:val="24"/>
        </w:rPr>
        <w:t xml:space="preserve">    • TSH şi FT4 la femei</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NOTA 2: Furnizorul de analize de laborator efectuează fără recomandarea medicului de familie examenul citologic al frotiului sangvin (numai dacă este efectuat de medicul de laborator sau de specialişti cu studii superioare nemedicale care au specializare în hematologie) în cazul în care hemoleucograma completă prezintă modificări de parametri, respectiv efectuează TPHA în situaţia în care VDRL sau RPR este pozitiv.</w:t>
      </w:r>
    </w:p>
    <w:p w:rsidR="00A354E0" w:rsidRPr="00155BF0"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w:t>
      </w:r>
      <w:r w:rsidRPr="005A3923">
        <w:rPr>
          <w:rFonts w:ascii="Times New Roman" w:hAnsi="Times New Roman"/>
          <w:b/>
          <w:bCs/>
          <w:sz w:val="24"/>
          <w:szCs w:val="24"/>
        </w:rPr>
        <w:t>1.2.4.</w:t>
      </w:r>
      <w:r w:rsidRPr="000D672C">
        <w:rPr>
          <w:rFonts w:ascii="Times New Roman" w:hAnsi="Times New Roman"/>
          <w:sz w:val="24"/>
          <w:szCs w:val="24"/>
        </w:rPr>
        <w:t xml:space="preserve"> Supraveghere (evaluarea factorilor ambientali, consiliere privind igiena alimentaţiei) şi depistare de boli cu potenţial endemo-epidemic (examen clinic, diagnostic prezumtiv, trimitere către structurile de specialitate pentru investigaţii, confirmare, tratament adecvat şi măsuri igienico-sanitare specifice, după caz). Bolile cu potenţial endemo-epidemic sunt cele prevăzute </w:t>
      </w:r>
      <w:r w:rsidRPr="00155BF0">
        <w:rPr>
          <w:rFonts w:ascii="Times New Roman" w:hAnsi="Times New Roman"/>
          <w:sz w:val="24"/>
          <w:szCs w:val="24"/>
        </w:rPr>
        <w:t>la punctul II din anexa la H.G. nr. 1186/2000.</w:t>
      </w:r>
    </w:p>
    <w:p w:rsidR="00A354E0" w:rsidRDefault="00A354E0" w:rsidP="00042675">
      <w:pPr>
        <w:autoSpaceDE w:val="0"/>
        <w:autoSpaceDN w:val="0"/>
        <w:adjustRightInd w:val="0"/>
        <w:spacing w:after="0" w:line="240" w:lineRule="auto"/>
        <w:jc w:val="both"/>
        <w:rPr>
          <w:rFonts w:ascii="Times New Roman" w:hAnsi="Times New Roman"/>
          <w:b/>
          <w:sz w:val="24"/>
          <w:szCs w:val="24"/>
        </w:rPr>
      </w:pPr>
      <w:r w:rsidRPr="000D672C">
        <w:rPr>
          <w:rFonts w:ascii="Times New Roman" w:hAnsi="Times New Roman"/>
          <w:sz w:val="24"/>
          <w:szCs w:val="24"/>
        </w:rPr>
        <w:t xml:space="preserve">    1.2.4.1. Se acordă o singură consultaţie per persoană pentru fiecare boală cu potenţial endemo-epidemic suspicionată şi confirmată, inclusiv pentru bolnavul TBC nou descoperit activ de medicul de familie</w:t>
      </w:r>
      <w:r w:rsidRPr="000D672C">
        <w:rPr>
          <w:rFonts w:ascii="Times New Roman" w:hAnsi="Times New Roman"/>
          <w:b/>
          <w:sz w:val="24"/>
          <w:szCs w:val="24"/>
        </w:rPr>
        <w:t>.</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w:t>
      </w:r>
      <w:r w:rsidRPr="005A3923">
        <w:rPr>
          <w:rFonts w:ascii="Times New Roman" w:hAnsi="Times New Roman"/>
          <w:b/>
          <w:bCs/>
          <w:sz w:val="24"/>
          <w:szCs w:val="24"/>
        </w:rPr>
        <w:t>1.2.5.</w:t>
      </w:r>
      <w:r w:rsidRPr="000D672C">
        <w:rPr>
          <w:rFonts w:ascii="Times New Roman" w:hAnsi="Times New Roman"/>
          <w:sz w:val="24"/>
          <w:szCs w:val="24"/>
        </w:rPr>
        <w:t xml:space="preserve"> Consultaţii pentru acordarea serviciilor de planificare familială:</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a) consilierea femeii privind planificarea familială;</w:t>
      </w:r>
    </w:p>
    <w:p w:rsidR="00A354E0" w:rsidRPr="000D672C"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b) indicarea unei metode contraceptive la persoanele fără risc.</w:t>
      </w:r>
    </w:p>
    <w:p w:rsidR="00A354E0" w:rsidRDefault="00A354E0" w:rsidP="00042675">
      <w:pPr>
        <w:autoSpaceDE w:val="0"/>
        <w:autoSpaceDN w:val="0"/>
        <w:adjustRightInd w:val="0"/>
        <w:spacing w:after="0" w:line="240" w:lineRule="auto"/>
        <w:jc w:val="both"/>
        <w:rPr>
          <w:rFonts w:ascii="Times New Roman" w:hAnsi="Times New Roman"/>
          <w:sz w:val="24"/>
          <w:szCs w:val="24"/>
        </w:rPr>
      </w:pPr>
      <w:r w:rsidRPr="000D672C">
        <w:rPr>
          <w:rFonts w:ascii="Times New Roman" w:hAnsi="Times New Roman"/>
          <w:sz w:val="24"/>
          <w:szCs w:val="24"/>
        </w:rPr>
        <w:t xml:space="preserve">    1.2.5.1. Consultaţia poate cuprinde, după caz, numai serviciul prevăzut la litera a) sau serviciile prevăzute la literele a) şi b); se acordă maximum două consultaţii pe an calendaristic, pe asigurat.</w:t>
      </w:r>
    </w:p>
    <w:p w:rsidR="00A354E0" w:rsidRDefault="00A354E0" w:rsidP="00042675">
      <w:pPr>
        <w:autoSpaceDE w:val="0"/>
        <w:autoSpaceDN w:val="0"/>
        <w:adjustRightInd w:val="0"/>
        <w:spacing w:after="0" w:line="240" w:lineRule="auto"/>
        <w:jc w:val="both"/>
        <w:rPr>
          <w:rFonts w:ascii="Times New Roman" w:hAnsi="Times New Roman"/>
          <w:sz w:val="24"/>
          <w:szCs w:val="24"/>
        </w:rPr>
      </w:pPr>
    </w:p>
    <w:p w:rsidR="00A354E0" w:rsidRPr="004E3899" w:rsidRDefault="00A354E0" w:rsidP="00042675">
      <w:pPr>
        <w:autoSpaceDE w:val="0"/>
        <w:autoSpaceDN w:val="0"/>
        <w:adjustRightInd w:val="0"/>
        <w:spacing w:after="0" w:line="240" w:lineRule="auto"/>
        <w:jc w:val="both"/>
        <w:rPr>
          <w:rFonts w:ascii="Times New Roman" w:hAnsi="Times New Roman"/>
          <w:b/>
          <w:sz w:val="24"/>
          <w:szCs w:val="24"/>
        </w:rPr>
      </w:pPr>
      <w:r w:rsidRPr="007B486E">
        <w:rPr>
          <w:rFonts w:ascii="Times New Roman" w:hAnsi="Times New Roman"/>
          <w:sz w:val="24"/>
          <w:szCs w:val="24"/>
        </w:rPr>
        <w:t xml:space="preserve">    </w:t>
      </w:r>
      <w:r w:rsidRPr="004E3899">
        <w:rPr>
          <w:rFonts w:ascii="Times New Roman" w:hAnsi="Times New Roman"/>
          <w:b/>
          <w:bCs/>
          <w:sz w:val="24"/>
          <w:szCs w:val="24"/>
        </w:rPr>
        <w:t>1.3.</w:t>
      </w:r>
      <w:r w:rsidRPr="004E3899">
        <w:rPr>
          <w:rFonts w:ascii="Times New Roman" w:hAnsi="Times New Roman"/>
          <w:b/>
          <w:sz w:val="24"/>
          <w:szCs w:val="24"/>
        </w:rPr>
        <w:t xml:space="preserve"> Consultaţiile la domiciliu</w:t>
      </w:r>
    </w:p>
    <w:p w:rsidR="00A354E0" w:rsidRPr="007B486E" w:rsidRDefault="00A354E0" w:rsidP="00042675">
      <w:pPr>
        <w:autoSpaceDE w:val="0"/>
        <w:autoSpaceDN w:val="0"/>
        <w:adjustRightInd w:val="0"/>
        <w:spacing w:after="0" w:line="240" w:lineRule="auto"/>
        <w:jc w:val="both"/>
        <w:rPr>
          <w:rFonts w:ascii="Times New Roman" w:hAnsi="Times New Roman"/>
          <w:sz w:val="24"/>
          <w:szCs w:val="24"/>
        </w:rPr>
      </w:pPr>
      <w:r w:rsidRPr="007B486E">
        <w:rPr>
          <w:rFonts w:ascii="Times New Roman" w:hAnsi="Times New Roman"/>
          <w:sz w:val="24"/>
          <w:szCs w:val="24"/>
        </w:rPr>
        <w:t xml:space="preserve">    1.3.1. Se acordă asiguraţilor de pe lista proprie a medicului de familie, în afara cabinetului, în timpul programului de lucru pentru consultaţiile la domiciliu. </w:t>
      </w:r>
    </w:p>
    <w:p w:rsidR="00A354E0" w:rsidRPr="007B486E" w:rsidRDefault="00A354E0" w:rsidP="00042675">
      <w:pPr>
        <w:autoSpaceDE w:val="0"/>
        <w:autoSpaceDN w:val="0"/>
        <w:adjustRightInd w:val="0"/>
        <w:spacing w:after="0" w:line="240" w:lineRule="auto"/>
        <w:jc w:val="both"/>
        <w:rPr>
          <w:rFonts w:ascii="Times New Roman" w:hAnsi="Times New Roman"/>
          <w:sz w:val="24"/>
          <w:szCs w:val="24"/>
        </w:rPr>
      </w:pPr>
      <w:r w:rsidRPr="007B486E">
        <w:rPr>
          <w:rFonts w:ascii="Times New Roman" w:hAnsi="Times New Roman"/>
          <w:sz w:val="24"/>
          <w:szCs w:val="24"/>
        </w:rPr>
        <w:t xml:space="preserve">    1.3.2. Consultaţiile la domiciliu se acordă asiguraţilor nedeplasabili din motiv de invaliditate permanentă sau invaliditate temporară, asiguraţilor cu boli cronice sau cu un episod acut ce nu permite deplasarea la cabinet, copiilor 0 - 1 an, copiilor cu vârsta 0 - 18 ani cu boli infecto-contagioase şi lehuzelor.</w:t>
      </w:r>
    </w:p>
    <w:p w:rsidR="00A354E0" w:rsidRPr="007B486E" w:rsidRDefault="00A354E0" w:rsidP="00042675">
      <w:pPr>
        <w:autoSpaceDE w:val="0"/>
        <w:autoSpaceDN w:val="0"/>
        <w:adjustRightInd w:val="0"/>
        <w:spacing w:after="0" w:line="240" w:lineRule="auto"/>
        <w:jc w:val="both"/>
        <w:rPr>
          <w:rFonts w:ascii="Times New Roman" w:hAnsi="Times New Roman"/>
          <w:sz w:val="24"/>
          <w:szCs w:val="24"/>
        </w:rPr>
      </w:pPr>
      <w:r w:rsidRPr="007B486E">
        <w:rPr>
          <w:rFonts w:ascii="Times New Roman" w:hAnsi="Times New Roman"/>
          <w:sz w:val="24"/>
          <w:szCs w:val="24"/>
        </w:rPr>
        <w:t xml:space="preserve">    1.3.3. Se consideră consultaţie la domiciliu, inclusiv consultaţia - examinarea acordată de medicul de familie în vederea constatării decesului.</w:t>
      </w:r>
    </w:p>
    <w:p w:rsidR="00A354E0" w:rsidRPr="007B486E" w:rsidRDefault="00A354E0" w:rsidP="00042675">
      <w:pPr>
        <w:autoSpaceDE w:val="0"/>
        <w:autoSpaceDN w:val="0"/>
        <w:adjustRightInd w:val="0"/>
        <w:spacing w:after="0" w:line="240" w:lineRule="auto"/>
        <w:jc w:val="both"/>
        <w:rPr>
          <w:rFonts w:ascii="Times New Roman" w:hAnsi="Times New Roman"/>
          <w:sz w:val="24"/>
          <w:szCs w:val="24"/>
        </w:rPr>
      </w:pPr>
      <w:r w:rsidRPr="007B486E">
        <w:rPr>
          <w:rFonts w:ascii="Times New Roman" w:hAnsi="Times New Roman"/>
          <w:sz w:val="24"/>
          <w:szCs w:val="24"/>
        </w:rPr>
        <w:t xml:space="preserve">    1.3.4. Consultaţiile la domiciliu acordate de către medicul de familie pentru un asigurat înscris pe lista proprie se decontează astfel: maximum doua consultaţii pentru fiecare episod acut/subacut/acutizări ale bolilor cronice, maximum patru consultaţii/an pentru bolile cronice şi o consultaţie pentru fiecare situaţie de urgenţă</w:t>
      </w:r>
      <w:r w:rsidRPr="007B486E">
        <w:rPr>
          <w:rFonts w:ascii="Times New Roman" w:hAnsi="Times New Roman"/>
          <w:strike/>
          <w:sz w:val="24"/>
          <w:szCs w:val="24"/>
        </w:rPr>
        <w:t>.</w:t>
      </w:r>
      <w:r w:rsidRPr="007B486E">
        <w:rPr>
          <w:rFonts w:ascii="Times New Roman" w:hAnsi="Times New Roman"/>
          <w:sz w:val="24"/>
          <w:szCs w:val="24"/>
        </w:rPr>
        <w:t xml:space="preserve"> Informaţiile medicale se înregistrează în fişa medicală.</w:t>
      </w:r>
    </w:p>
    <w:p w:rsidR="00A354E0" w:rsidRDefault="00A354E0" w:rsidP="00042675">
      <w:pPr>
        <w:autoSpaceDE w:val="0"/>
        <w:autoSpaceDN w:val="0"/>
        <w:adjustRightInd w:val="0"/>
        <w:spacing w:after="0" w:line="240" w:lineRule="auto"/>
        <w:jc w:val="both"/>
        <w:rPr>
          <w:rFonts w:ascii="Times New Roman" w:hAnsi="Times New Roman"/>
          <w:sz w:val="24"/>
          <w:szCs w:val="24"/>
        </w:rPr>
      </w:pPr>
      <w:r w:rsidRPr="007B486E">
        <w:rPr>
          <w:rFonts w:ascii="Times New Roman" w:hAnsi="Times New Roman"/>
          <w:sz w:val="24"/>
          <w:szCs w:val="24"/>
        </w:rPr>
        <w:t xml:space="preserve">    1.3.5. Consultaţiile acordate la domiciliul asiguraţilor - maximum 42 de consultaţii pe lună pe medic cu listă proprie de persoane asigurate înscrise dar nu mai mult de trei consultaţii pe zi.</w:t>
      </w:r>
    </w:p>
    <w:p w:rsidR="00A354E0" w:rsidRDefault="00A354E0" w:rsidP="00042675">
      <w:pPr>
        <w:autoSpaceDE w:val="0"/>
        <w:autoSpaceDN w:val="0"/>
        <w:adjustRightInd w:val="0"/>
        <w:spacing w:after="0" w:line="240" w:lineRule="auto"/>
        <w:jc w:val="both"/>
        <w:rPr>
          <w:rFonts w:ascii="Times New Roman" w:hAnsi="Times New Roman"/>
          <w:sz w:val="24"/>
          <w:szCs w:val="24"/>
        </w:rPr>
      </w:pPr>
      <w:r w:rsidRPr="007B486E">
        <w:rPr>
          <w:rFonts w:ascii="Times New Roman" w:hAnsi="Times New Roman"/>
          <w:sz w:val="24"/>
          <w:szCs w:val="24"/>
        </w:rPr>
        <w:t xml:space="preserve">    NOTĂ: Consultaţiile la domiciliu se consemnează în registrul de consultaţii la domiciliu, care va conţine data şi ora consultaţiei, numele, prenumele, semnătura asiguratului sau aparţinătorului, după caz, pentru situaţia în care nu se utilizează cardul conform prevederilor legale în vigoare.</w:t>
      </w:r>
    </w:p>
    <w:p w:rsidR="00A354E0" w:rsidRDefault="00A354E0" w:rsidP="00042675">
      <w:pPr>
        <w:autoSpaceDE w:val="0"/>
        <w:autoSpaceDN w:val="0"/>
        <w:adjustRightInd w:val="0"/>
        <w:spacing w:after="0" w:line="240" w:lineRule="auto"/>
        <w:jc w:val="both"/>
        <w:rPr>
          <w:rFonts w:ascii="Times New Roman" w:hAnsi="Times New Roman"/>
          <w:sz w:val="24"/>
          <w:szCs w:val="24"/>
        </w:rPr>
      </w:pPr>
    </w:p>
    <w:p w:rsidR="00A354E0" w:rsidRPr="004F6EF9" w:rsidRDefault="00A354E0" w:rsidP="00042675">
      <w:pPr>
        <w:autoSpaceDE w:val="0"/>
        <w:autoSpaceDN w:val="0"/>
        <w:adjustRightInd w:val="0"/>
        <w:spacing w:after="0" w:line="240" w:lineRule="auto"/>
        <w:jc w:val="both"/>
        <w:rPr>
          <w:rFonts w:ascii="Times New Roman" w:hAnsi="Times New Roman"/>
          <w:b/>
          <w:sz w:val="24"/>
          <w:szCs w:val="24"/>
        </w:rPr>
      </w:pPr>
      <w:r w:rsidRPr="007B486E">
        <w:rPr>
          <w:rFonts w:ascii="Times New Roman" w:hAnsi="Times New Roman"/>
          <w:sz w:val="24"/>
          <w:szCs w:val="24"/>
        </w:rPr>
        <w:t xml:space="preserve">    </w:t>
      </w:r>
      <w:r w:rsidRPr="004F6EF9">
        <w:rPr>
          <w:rFonts w:ascii="Times New Roman" w:hAnsi="Times New Roman"/>
          <w:b/>
          <w:bCs/>
          <w:sz w:val="24"/>
          <w:szCs w:val="24"/>
        </w:rPr>
        <w:t>1.4. Serviciile medicale adiţionale</w:t>
      </w:r>
      <w:r w:rsidRPr="004F6EF9">
        <w:rPr>
          <w:rFonts w:ascii="Times New Roman" w:hAnsi="Times New Roman"/>
          <w:b/>
          <w:sz w:val="24"/>
          <w:szCs w:val="24"/>
        </w:rPr>
        <w:t xml:space="preserve"> </w:t>
      </w:r>
    </w:p>
    <w:p w:rsidR="00A354E0" w:rsidRPr="007B486E" w:rsidRDefault="00A354E0" w:rsidP="00042675">
      <w:pPr>
        <w:autoSpaceDE w:val="0"/>
        <w:autoSpaceDN w:val="0"/>
        <w:adjustRightInd w:val="0"/>
        <w:spacing w:after="0" w:line="240" w:lineRule="auto"/>
        <w:jc w:val="both"/>
        <w:rPr>
          <w:rFonts w:ascii="Times New Roman" w:hAnsi="Times New Roman"/>
          <w:sz w:val="24"/>
          <w:szCs w:val="24"/>
        </w:rPr>
      </w:pPr>
      <w:r w:rsidRPr="007B486E">
        <w:rPr>
          <w:rFonts w:ascii="Times New Roman" w:hAnsi="Times New Roman"/>
          <w:sz w:val="24"/>
          <w:szCs w:val="24"/>
        </w:rPr>
        <w:t xml:space="preserve">    1.4.1. Serviciile medicale adiționale reprezintă servicii care se oferă opţional în cabinetele medicilor de familie, exclusiv asiguraţilor de pe lista proprie. Aceste servicii sunt acordate numai în cadrul cabinetelor care au dotarea corespunzătoare, iar medicul de familie are competenţă dobândită prin parcurgerea unui program educaţional specific, certificat suplimentar, după caz.</w:t>
      </w:r>
    </w:p>
    <w:p w:rsidR="00A354E0" w:rsidRPr="007B486E" w:rsidRDefault="00A354E0" w:rsidP="004049AA">
      <w:pPr>
        <w:autoSpaceDE w:val="0"/>
        <w:autoSpaceDN w:val="0"/>
        <w:adjustRightInd w:val="0"/>
        <w:spacing w:after="0" w:line="240" w:lineRule="auto"/>
        <w:rPr>
          <w:rFonts w:ascii="Times New Roman" w:hAnsi="Times New Roman"/>
          <w:sz w:val="24"/>
          <w:szCs w:val="24"/>
        </w:rPr>
      </w:pPr>
      <w:r w:rsidRPr="007B486E">
        <w:rPr>
          <w:rFonts w:ascii="Times New Roman" w:hAnsi="Times New Roman"/>
          <w:sz w:val="24"/>
          <w:szCs w:val="24"/>
        </w:rPr>
        <w:t xml:space="preserve">    1.4.2. </w:t>
      </w:r>
      <w:r>
        <w:rPr>
          <w:rFonts w:ascii="Times New Roman" w:hAnsi="Times New Roman"/>
          <w:sz w:val="24"/>
          <w:szCs w:val="24"/>
        </w:rPr>
        <w:t>Servicii adiţionale</w:t>
      </w:r>
      <w:r w:rsidRPr="007B486E">
        <w:rPr>
          <w:rFonts w:ascii="Times New Roman" w:hAnsi="Times New Roman"/>
          <w:sz w:val="24"/>
          <w:szCs w:val="24"/>
        </w:rPr>
        <w:t>:</w:t>
      </w:r>
      <w:r>
        <w:rPr>
          <w:rFonts w:ascii="Times New Roman" w:hAnsi="Times New Roman"/>
          <w:color w:val="00B050"/>
          <w:sz w:val="24"/>
          <w:szCs w:val="24"/>
        </w:rPr>
        <w:t xml:space="preserve">  </w:t>
      </w:r>
      <w:r>
        <w:rPr>
          <w:rFonts w:ascii="Times New Roman" w:hAnsi="Times New Roman"/>
          <w:sz w:val="24"/>
          <w:szCs w:val="24"/>
        </w:rPr>
        <w:t>ecografia</w:t>
      </w:r>
      <w:r w:rsidRPr="007B486E">
        <w:rPr>
          <w:rFonts w:ascii="Times New Roman" w:hAnsi="Times New Roman"/>
          <w:sz w:val="24"/>
          <w:szCs w:val="24"/>
        </w:rPr>
        <w:t xml:space="preserve"> generală - abdomen şi pelvis;</w:t>
      </w:r>
    </w:p>
    <w:p w:rsidR="00A354E0" w:rsidRDefault="00A354E0" w:rsidP="00AC4932">
      <w:pPr>
        <w:autoSpaceDE w:val="0"/>
        <w:autoSpaceDN w:val="0"/>
        <w:adjustRightInd w:val="0"/>
        <w:spacing w:after="0" w:line="240" w:lineRule="auto"/>
        <w:jc w:val="both"/>
        <w:rPr>
          <w:rFonts w:ascii="Times New Roman" w:hAnsi="Times New Roman"/>
          <w:sz w:val="24"/>
          <w:szCs w:val="24"/>
        </w:rPr>
      </w:pPr>
      <w:r w:rsidRPr="007B486E">
        <w:rPr>
          <w:rFonts w:ascii="Times New Roman" w:hAnsi="Times New Roman"/>
          <w:sz w:val="24"/>
          <w:szCs w:val="24"/>
        </w:rPr>
        <w:t xml:space="preserve">    NOTA 1: Pentru  </w:t>
      </w:r>
      <w:r w:rsidRPr="00002452">
        <w:rPr>
          <w:rFonts w:ascii="Times New Roman" w:hAnsi="Times New Roman"/>
          <w:sz w:val="24"/>
          <w:szCs w:val="24"/>
        </w:rPr>
        <w:t xml:space="preserve">serviciile de ecografie generală – abdomen și pelvis </w:t>
      </w:r>
      <w:r w:rsidRPr="007B486E">
        <w:rPr>
          <w:rFonts w:ascii="Times New Roman" w:hAnsi="Times New Roman"/>
          <w:sz w:val="24"/>
          <w:szCs w:val="24"/>
        </w:rPr>
        <w:t>se încheie acte adiţionale la contractul/convenţia de furnizare de servicii medicale în asistenţa medicală primară</w:t>
      </w:r>
      <w:r w:rsidRPr="009C62BD">
        <w:rPr>
          <w:rFonts w:ascii="Times New Roman" w:hAnsi="Times New Roman"/>
          <w:sz w:val="24"/>
          <w:szCs w:val="24"/>
        </w:rPr>
        <w:t>. Decontarea acestor servicii se realizează din fondul aferent investigaţiilor medicale paraclinice, în limita sumelor rezultate conform criteriilor prevăzute în anexa 20 la ordin.</w:t>
      </w:r>
    </w:p>
    <w:p w:rsidR="00A354E0" w:rsidRDefault="00A354E0" w:rsidP="00AC4932">
      <w:pPr>
        <w:autoSpaceDE w:val="0"/>
        <w:autoSpaceDN w:val="0"/>
        <w:adjustRightInd w:val="0"/>
        <w:spacing w:after="0" w:line="240" w:lineRule="auto"/>
        <w:jc w:val="both"/>
        <w:rPr>
          <w:rFonts w:ascii="Times New Roman" w:hAnsi="Times New Roman"/>
          <w:sz w:val="24"/>
          <w:szCs w:val="24"/>
        </w:rPr>
      </w:pPr>
      <w:r w:rsidRPr="007B486E">
        <w:rPr>
          <w:rFonts w:ascii="Times New Roman" w:hAnsi="Times New Roman"/>
          <w:sz w:val="24"/>
          <w:szCs w:val="24"/>
        </w:rPr>
        <w:t xml:space="preserve">    NOTA 2: Numărul maxim de servicii</w:t>
      </w:r>
      <w:r>
        <w:rPr>
          <w:rFonts w:ascii="Times New Roman" w:hAnsi="Times New Roman"/>
          <w:sz w:val="24"/>
          <w:szCs w:val="24"/>
        </w:rPr>
        <w:t xml:space="preserve"> </w:t>
      </w:r>
      <w:r w:rsidRPr="007B486E">
        <w:rPr>
          <w:rFonts w:ascii="Times New Roman" w:hAnsi="Times New Roman"/>
          <w:sz w:val="24"/>
          <w:szCs w:val="24"/>
        </w:rPr>
        <w:t xml:space="preserve"> </w:t>
      </w:r>
      <w:r w:rsidRPr="0025647C">
        <w:rPr>
          <w:rFonts w:ascii="Times New Roman" w:hAnsi="Times New Roman"/>
          <w:sz w:val="24"/>
          <w:szCs w:val="24"/>
        </w:rPr>
        <w:t>adiționale</w:t>
      </w:r>
      <w:r w:rsidRPr="00002452">
        <w:rPr>
          <w:rFonts w:ascii="Times New Roman" w:hAnsi="Times New Roman"/>
          <w:sz w:val="24"/>
          <w:szCs w:val="24"/>
          <w:lang w:val="en-GB"/>
        </w:rPr>
        <w:t xml:space="preserve"> </w:t>
      </w:r>
      <w:r w:rsidRPr="007B486E">
        <w:rPr>
          <w:rFonts w:ascii="Times New Roman" w:hAnsi="Times New Roman"/>
          <w:sz w:val="24"/>
          <w:szCs w:val="24"/>
        </w:rPr>
        <w:t>ce pot fi efectuate şi acordate într-o oră, nu poate fi mai mare de 3.</w:t>
      </w:r>
    </w:p>
    <w:p w:rsidR="00A354E0" w:rsidRDefault="00A354E0" w:rsidP="00AC4932">
      <w:pPr>
        <w:autoSpaceDE w:val="0"/>
        <w:autoSpaceDN w:val="0"/>
        <w:adjustRightInd w:val="0"/>
        <w:spacing w:after="0" w:line="240" w:lineRule="auto"/>
        <w:jc w:val="both"/>
        <w:rPr>
          <w:rFonts w:ascii="Times New Roman" w:hAnsi="Times New Roman"/>
          <w:sz w:val="24"/>
          <w:szCs w:val="24"/>
        </w:rPr>
      </w:pPr>
      <w:bookmarkStart w:id="0" w:name="_GoBack"/>
      <w:bookmarkEnd w:id="0"/>
    </w:p>
    <w:p w:rsidR="00A354E0" w:rsidRPr="00D74BDC" w:rsidRDefault="00A354E0" w:rsidP="00042675">
      <w:pPr>
        <w:autoSpaceDE w:val="0"/>
        <w:autoSpaceDN w:val="0"/>
        <w:adjustRightInd w:val="0"/>
        <w:spacing w:after="0" w:line="240" w:lineRule="auto"/>
        <w:jc w:val="both"/>
        <w:rPr>
          <w:rFonts w:ascii="Times New Roman" w:hAnsi="Times New Roman"/>
          <w:b/>
          <w:bCs/>
          <w:sz w:val="24"/>
          <w:szCs w:val="24"/>
        </w:rPr>
      </w:pPr>
      <w:r w:rsidRPr="007B486E">
        <w:rPr>
          <w:rFonts w:ascii="Times New Roman" w:hAnsi="Times New Roman"/>
          <w:sz w:val="24"/>
          <w:szCs w:val="24"/>
        </w:rPr>
        <w:t xml:space="preserve">    </w:t>
      </w:r>
      <w:r w:rsidRPr="00D74BDC">
        <w:rPr>
          <w:rFonts w:ascii="Times New Roman" w:hAnsi="Times New Roman"/>
          <w:b/>
          <w:bCs/>
          <w:sz w:val="24"/>
          <w:szCs w:val="24"/>
        </w:rPr>
        <w:t>1.5. Activităţile de suport</w:t>
      </w:r>
    </w:p>
    <w:p w:rsidR="00A354E0" w:rsidRPr="007B486E" w:rsidRDefault="00A354E0" w:rsidP="00042675">
      <w:pPr>
        <w:autoSpaceDE w:val="0"/>
        <w:autoSpaceDN w:val="0"/>
        <w:adjustRightInd w:val="0"/>
        <w:spacing w:after="0" w:line="240" w:lineRule="auto"/>
        <w:jc w:val="both"/>
        <w:rPr>
          <w:rFonts w:ascii="Times New Roman" w:hAnsi="Times New Roman"/>
          <w:sz w:val="24"/>
          <w:szCs w:val="24"/>
        </w:rPr>
      </w:pPr>
      <w:r w:rsidRPr="007B486E">
        <w:rPr>
          <w:rFonts w:ascii="Times New Roman" w:hAnsi="Times New Roman"/>
          <w:bCs/>
          <w:sz w:val="24"/>
          <w:szCs w:val="24"/>
        </w:rPr>
        <w:t xml:space="preserve">    Activităţile de suport</w:t>
      </w:r>
      <w:r w:rsidRPr="007B486E">
        <w:rPr>
          <w:rFonts w:ascii="Times New Roman" w:hAnsi="Times New Roman"/>
          <w:sz w:val="24"/>
          <w:szCs w:val="24"/>
        </w:rPr>
        <w:t xml:space="preserve"> sunt reprezentate de eliberarea următoarelor documente medicale, urmare a unui act medical propriu:</w:t>
      </w:r>
    </w:p>
    <w:p w:rsidR="00A354E0" w:rsidRPr="00712CEA" w:rsidRDefault="00A354E0" w:rsidP="00712C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w:t>
      </w:r>
      <w:r w:rsidRPr="00712CEA">
        <w:rPr>
          <w:rFonts w:ascii="Times New Roman" w:hAnsi="Times New Roman"/>
          <w:sz w:val="24"/>
          <w:szCs w:val="24"/>
        </w:rPr>
        <w:t>concediu medical;</w:t>
      </w:r>
    </w:p>
    <w:p w:rsidR="00A354E0" w:rsidRPr="00712CEA" w:rsidRDefault="00A354E0" w:rsidP="009A4D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 </w:t>
      </w:r>
      <w:r w:rsidRPr="00712CEA">
        <w:rPr>
          <w:rFonts w:ascii="Times New Roman" w:hAnsi="Times New Roman"/>
          <w:sz w:val="24"/>
          <w:szCs w:val="24"/>
        </w:rPr>
        <w:t>bilete de trimitere;</w:t>
      </w:r>
    </w:p>
    <w:p w:rsidR="00A354E0" w:rsidRPr="00712CEA" w:rsidRDefault="00A354E0" w:rsidP="009A4D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 </w:t>
      </w:r>
      <w:r w:rsidRPr="00712CEA">
        <w:rPr>
          <w:rFonts w:ascii="Times New Roman" w:hAnsi="Times New Roman"/>
          <w:sz w:val="24"/>
          <w:szCs w:val="24"/>
        </w:rPr>
        <w:t>prescripţii medicale;</w:t>
      </w:r>
    </w:p>
    <w:p w:rsidR="00A354E0" w:rsidRPr="00712CEA" w:rsidRDefault="00A354E0" w:rsidP="009A4D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w:t>
      </w:r>
      <w:r w:rsidRPr="00712CEA">
        <w:rPr>
          <w:rFonts w:ascii="Times New Roman" w:hAnsi="Times New Roman"/>
          <w:sz w:val="24"/>
          <w:szCs w:val="24"/>
        </w:rPr>
        <w:t xml:space="preserve"> adeverinţe medicale pentru copii în caz de îmbolnăviri;</w:t>
      </w:r>
    </w:p>
    <w:p w:rsidR="00A354E0" w:rsidRPr="00002452" w:rsidRDefault="00A354E0" w:rsidP="009A4DEC">
      <w:pPr>
        <w:pStyle w:val="ListParagraph"/>
        <w:autoSpaceDE w:val="0"/>
        <w:autoSpaceDN w:val="0"/>
        <w:adjustRightInd w:val="0"/>
        <w:spacing w:after="0" w:line="240" w:lineRule="auto"/>
        <w:ind w:left="0"/>
        <w:jc w:val="both"/>
        <w:rPr>
          <w:rFonts w:ascii="Times New Roman" w:hAnsi="Times New Roman"/>
          <w:strike/>
          <w:sz w:val="24"/>
          <w:szCs w:val="24"/>
        </w:rPr>
      </w:pPr>
      <w:r>
        <w:rPr>
          <w:rFonts w:ascii="Times New Roman" w:hAnsi="Times New Roman"/>
          <w:sz w:val="24"/>
          <w:szCs w:val="24"/>
        </w:rPr>
        <w:t xml:space="preserve">     e. </w:t>
      </w:r>
      <w:r w:rsidRPr="000D672C">
        <w:rPr>
          <w:rFonts w:ascii="Times New Roman" w:hAnsi="Times New Roman"/>
          <w:sz w:val="24"/>
          <w:szCs w:val="24"/>
        </w:rPr>
        <w:t xml:space="preserve">acte medicale necesare copiilor </w:t>
      </w:r>
      <w:r w:rsidRPr="00002452">
        <w:rPr>
          <w:rFonts w:ascii="Times New Roman" w:hAnsi="Times New Roman"/>
          <w:sz w:val="24"/>
          <w:szCs w:val="24"/>
        </w:rPr>
        <w:t>pentru care a fost stabilită o măsură de protecție specială, în condițiile legii;</w:t>
      </w:r>
    </w:p>
    <w:p w:rsidR="00A354E0" w:rsidRPr="000D672C" w:rsidRDefault="00A354E0" w:rsidP="009A4DEC">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f. </w:t>
      </w:r>
      <w:r w:rsidRPr="000D672C">
        <w:rPr>
          <w:rFonts w:ascii="Times New Roman" w:hAnsi="Times New Roman"/>
          <w:sz w:val="24"/>
          <w:szCs w:val="24"/>
        </w:rPr>
        <w:t xml:space="preserve">adeverinţe medicale pentru înscrierea în colectivitate - eliberate la efectuarea examenelor anuale de bilanţ ale preşcolarilor şi elevilor şi numai la înscrierea în fiecare ciclu de învăţământ şi avize epidemiologice pentru (re)intrare în colectivitate, conform </w:t>
      </w:r>
      <w:r w:rsidRPr="005031B8">
        <w:rPr>
          <w:rFonts w:ascii="Times New Roman" w:hAnsi="Times New Roman"/>
          <w:color w:val="000000"/>
          <w:sz w:val="24"/>
          <w:szCs w:val="24"/>
        </w:rPr>
        <w:t>Ordinului</w:t>
      </w:r>
      <w:r w:rsidRPr="000D672C">
        <w:rPr>
          <w:rFonts w:ascii="Times New Roman" w:hAnsi="Times New Roman"/>
          <w:sz w:val="24"/>
          <w:szCs w:val="24"/>
        </w:rPr>
        <w:t xml:space="preserve"> ministrului educaţiei, cercetării, tineretului şi sportului şi al ministrului sănătăţii nr. 5298/1668/2011 pentru aprobarea Metodologiei privind examinarea stării de sănătate a preşcolarilor şi</w:t>
      </w:r>
      <w:r w:rsidRPr="000D672C">
        <w:rPr>
          <w:rFonts w:ascii="Times New Roman" w:hAnsi="Times New Roman"/>
          <w:b/>
          <w:sz w:val="24"/>
          <w:szCs w:val="24"/>
        </w:rPr>
        <w:t xml:space="preserve"> </w:t>
      </w:r>
      <w:r w:rsidRPr="000D672C">
        <w:rPr>
          <w:rFonts w:ascii="Times New Roman" w:hAnsi="Times New Roman"/>
          <w:sz w:val="24"/>
          <w:szCs w:val="24"/>
        </w:rPr>
        <w:t>elevilor din unităţile de învăţământ de stat şi particulare autorizate/acreditate, privind acordarea asistenţei medicale gratuite şi pentru promovarea unui stil de viaţă sănătos, cu modifică</w:t>
      </w:r>
      <w:r>
        <w:rPr>
          <w:rFonts w:ascii="Times New Roman" w:hAnsi="Times New Roman"/>
          <w:sz w:val="24"/>
          <w:szCs w:val="24"/>
        </w:rPr>
        <w:t>rile şi completările ulterioare;</w:t>
      </w:r>
    </w:p>
    <w:p w:rsidR="00A354E0" w:rsidRPr="000D672C" w:rsidRDefault="00A354E0" w:rsidP="009A4DEC">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g. </w:t>
      </w:r>
      <w:r w:rsidRPr="000D672C">
        <w:rPr>
          <w:rFonts w:ascii="Times New Roman" w:hAnsi="Times New Roman"/>
          <w:sz w:val="24"/>
          <w:szCs w:val="24"/>
        </w:rPr>
        <w:t>certificat medical constatator al decesului, ca urmare a examinării pentru constatarea decesului, cu excepţia situaţiilor de suspiciune care necesită expertiză medico-legală, conform Ordinului ministrului justiţiei şi ministrului sănătăţii nr. 1134/C-255/2000 pentru aprobarea Normelor procedurale privind efectuarea expertizelor, a constatărilor ş</w:t>
      </w:r>
      <w:r>
        <w:rPr>
          <w:rFonts w:ascii="Times New Roman" w:hAnsi="Times New Roman"/>
          <w:sz w:val="24"/>
          <w:szCs w:val="24"/>
        </w:rPr>
        <w:t>i a altor lucrări medico-legale;</w:t>
      </w:r>
    </w:p>
    <w:p w:rsidR="00A354E0" w:rsidRDefault="00A354E0" w:rsidP="009A4DEC">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h. </w:t>
      </w:r>
      <w:r w:rsidRPr="000D672C">
        <w:rPr>
          <w:rFonts w:ascii="Times New Roman" w:hAnsi="Times New Roman"/>
          <w:color w:val="000000"/>
          <w:sz w:val="24"/>
          <w:szCs w:val="24"/>
        </w:rPr>
        <w:t>fișa medicală sintetică necesară copiilor cu dizabilități pentru încadrarea și reevaluarea în grad de handicap, conform Ordinului ministrului muncii, familiei, protecției sociale și persoanelor vârstnice, ministrului sănătății și ministrului educației naționale nr. 1985/1305/5805/2016 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r>
        <w:rPr>
          <w:rFonts w:ascii="Times New Roman" w:hAnsi="Times New Roman"/>
          <w:color w:val="000000"/>
          <w:sz w:val="24"/>
          <w:szCs w:val="24"/>
        </w:rPr>
        <w:t>;</w:t>
      </w:r>
    </w:p>
    <w:p w:rsidR="00A354E0" w:rsidRPr="00991162" w:rsidRDefault="00A354E0" w:rsidP="009A4D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991162">
        <w:rPr>
          <w:rFonts w:ascii="Times New Roman" w:hAnsi="Times New Roman"/>
          <w:sz w:val="24"/>
          <w:szCs w:val="24"/>
        </w:rPr>
        <w:t>i. adeverințe încadrare în muncă pentru șomerii beneficiari ai pachetului de bază.</w:t>
      </w:r>
    </w:p>
    <w:p w:rsidR="00A354E0" w:rsidRPr="00096864" w:rsidRDefault="00A354E0" w:rsidP="000968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96864">
        <w:rPr>
          <w:rFonts w:ascii="Times New Roman" w:hAnsi="Times New Roman"/>
          <w:sz w:val="24"/>
          <w:szCs w:val="24"/>
        </w:rPr>
        <w:t xml:space="preserve">   NOTA 1: Activităţile de suport sunt consecinţă a actului medical acordat pentru serviciile prevăzute în pachetul de servicii medicale de bază.</w:t>
      </w:r>
    </w:p>
    <w:p w:rsidR="00A354E0" w:rsidRDefault="00A354E0" w:rsidP="000968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96864">
        <w:rPr>
          <w:rFonts w:ascii="Times New Roman" w:hAnsi="Times New Roman"/>
          <w:sz w:val="24"/>
          <w:szCs w:val="24"/>
        </w:rPr>
        <w:t xml:space="preserve">   NOTA 2: Se decontează un serviciu - examinare pentru constatarea decesului, indiferent dacă s-a eliberat sau nu certificatul constatator de deces unui asigurat înscris </w:t>
      </w:r>
      <w:r w:rsidRPr="00450126">
        <w:rPr>
          <w:rFonts w:ascii="Times New Roman" w:hAnsi="Times New Roman"/>
          <w:color w:val="000000"/>
          <w:sz w:val="24"/>
          <w:szCs w:val="24"/>
        </w:rPr>
        <w:t xml:space="preserve">sau nu </w:t>
      </w:r>
      <w:r w:rsidRPr="00096864">
        <w:rPr>
          <w:rFonts w:ascii="Times New Roman" w:hAnsi="Times New Roman"/>
          <w:sz w:val="24"/>
          <w:szCs w:val="24"/>
        </w:rPr>
        <w:t>pe lista medicului de familie.</w:t>
      </w:r>
    </w:p>
    <w:p w:rsidR="00A354E0" w:rsidRPr="00644584" w:rsidRDefault="00A354E0" w:rsidP="00096864">
      <w:pPr>
        <w:autoSpaceDE w:val="0"/>
        <w:autoSpaceDN w:val="0"/>
        <w:adjustRightInd w:val="0"/>
        <w:spacing w:after="0" w:line="240" w:lineRule="auto"/>
        <w:jc w:val="both"/>
        <w:rPr>
          <w:rFonts w:ascii="Times New Roman" w:hAnsi="Times New Roman"/>
          <w:sz w:val="16"/>
          <w:szCs w:val="16"/>
        </w:rPr>
      </w:pPr>
    </w:p>
    <w:p w:rsidR="00A354E0" w:rsidRPr="00B8150D" w:rsidRDefault="00A354E0" w:rsidP="00096864">
      <w:pPr>
        <w:autoSpaceDE w:val="0"/>
        <w:autoSpaceDN w:val="0"/>
        <w:adjustRightInd w:val="0"/>
        <w:spacing w:after="0" w:line="240" w:lineRule="auto"/>
        <w:jc w:val="both"/>
        <w:rPr>
          <w:rFonts w:ascii="Times New Roman" w:hAnsi="Times New Roman"/>
          <w:b/>
          <w:bCs/>
          <w:color w:val="000000"/>
          <w:sz w:val="24"/>
          <w:szCs w:val="24"/>
        </w:rPr>
      </w:pPr>
      <w:r w:rsidRPr="00B8150D">
        <w:rPr>
          <w:rFonts w:ascii="Times New Roman" w:hAnsi="Times New Roman"/>
          <w:b/>
          <w:color w:val="000000"/>
          <w:sz w:val="24"/>
          <w:szCs w:val="24"/>
        </w:rPr>
        <w:t xml:space="preserve">    </w:t>
      </w:r>
      <w:r w:rsidRPr="00B8150D">
        <w:rPr>
          <w:rFonts w:ascii="Times New Roman" w:hAnsi="Times New Roman"/>
          <w:b/>
          <w:bCs/>
          <w:color w:val="000000"/>
          <w:sz w:val="24"/>
          <w:szCs w:val="24"/>
        </w:rPr>
        <w:t>1.6. Servicii de administrare de medicamente</w:t>
      </w:r>
    </w:p>
    <w:p w:rsidR="00A354E0" w:rsidRDefault="00A354E0" w:rsidP="00096864">
      <w:pPr>
        <w:autoSpaceDE w:val="0"/>
        <w:autoSpaceDN w:val="0"/>
        <w:adjustRightInd w:val="0"/>
        <w:spacing w:after="0" w:line="240" w:lineRule="auto"/>
        <w:jc w:val="both"/>
        <w:rPr>
          <w:rFonts w:ascii="Times New Roman" w:hAnsi="Times New Roman"/>
          <w:sz w:val="24"/>
          <w:szCs w:val="24"/>
        </w:rPr>
      </w:pPr>
      <w:r w:rsidRPr="00B8150D">
        <w:rPr>
          <w:rFonts w:ascii="Times New Roman" w:hAnsi="Times New Roman"/>
          <w:bCs/>
          <w:color w:val="000000"/>
          <w:sz w:val="24"/>
          <w:szCs w:val="24"/>
        </w:rPr>
        <w:t xml:space="preserve">    1.6.1</w:t>
      </w:r>
      <w:r>
        <w:rPr>
          <w:rFonts w:ascii="Times New Roman" w:hAnsi="Times New Roman"/>
          <w:bCs/>
          <w:color w:val="000000"/>
          <w:sz w:val="24"/>
          <w:szCs w:val="24"/>
        </w:rPr>
        <w:t>.</w:t>
      </w:r>
      <w:r w:rsidRPr="00B8150D">
        <w:rPr>
          <w:rFonts w:ascii="Times New Roman" w:hAnsi="Times New Roman"/>
          <w:bCs/>
          <w:color w:val="000000"/>
          <w:sz w:val="24"/>
          <w:szCs w:val="24"/>
        </w:rPr>
        <w:t xml:space="preserve"> </w:t>
      </w:r>
      <w:r w:rsidRPr="00096864">
        <w:rPr>
          <w:rFonts w:ascii="Times New Roman" w:hAnsi="Times New Roman"/>
          <w:bCs/>
          <w:sz w:val="24"/>
          <w:szCs w:val="24"/>
        </w:rPr>
        <w:t>Administrarea de medicamente</w:t>
      </w:r>
      <w:r w:rsidRPr="00096864">
        <w:rPr>
          <w:rFonts w:ascii="Times New Roman" w:hAnsi="Times New Roman"/>
          <w:sz w:val="24"/>
          <w:szCs w:val="24"/>
        </w:rPr>
        <w:t xml:space="preserve"> - intramuscular, subcutanat, intradermic, intravenos sau perfuzabil, după caz, </w:t>
      </w:r>
      <w:r w:rsidRPr="00B8150D">
        <w:rPr>
          <w:rFonts w:ascii="Times New Roman" w:hAnsi="Times New Roman"/>
          <w:bCs/>
          <w:color w:val="000000"/>
          <w:sz w:val="24"/>
          <w:szCs w:val="24"/>
        </w:rPr>
        <w:t>pentru medicamentele recomandate de către medicii de familie ca urmare a actului medical propriu,</w:t>
      </w:r>
      <w:r w:rsidRPr="00B8150D">
        <w:rPr>
          <w:rFonts w:ascii="Times New Roman" w:hAnsi="Times New Roman"/>
          <w:color w:val="000000"/>
          <w:sz w:val="24"/>
          <w:szCs w:val="24"/>
        </w:rPr>
        <w:t xml:space="preserve"> </w:t>
      </w:r>
      <w:r w:rsidRPr="00096864">
        <w:rPr>
          <w:rFonts w:ascii="Times New Roman" w:hAnsi="Times New Roman"/>
          <w:sz w:val="24"/>
          <w:szCs w:val="24"/>
        </w:rPr>
        <w:t xml:space="preserve">se acordă asiguraţilor de pe lista proprie a medicului de familie, în timpul programului de lucru în cabinet. </w:t>
      </w:r>
    </w:p>
    <w:p w:rsidR="00A354E0" w:rsidRPr="00E1066D" w:rsidRDefault="00A354E0" w:rsidP="00945873">
      <w:pPr>
        <w:autoSpaceDE w:val="0"/>
        <w:autoSpaceDN w:val="0"/>
        <w:adjustRightInd w:val="0"/>
        <w:spacing w:after="0" w:line="240" w:lineRule="auto"/>
        <w:jc w:val="both"/>
        <w:rPr>
          <w:rFonts w:ascii="Times New Roman" w:hAnsi="Times New Roman"/>
          <w:sz w:val="24"/>
          <w:szCs w:val="24"/>
        </w:rPr>
      </w:pPr>
      <w:r w:rsidRPr="00B8150D">
        <w:rPr>
          <w:rFonts w:ascii="Times New Roman" w:hAnsi="Times New Roman"/>
          <w:color w:val="000000"/>
          <w:sz w:val="24"/>
          <w:szCs w:val="24"/>
        </w:rPr>
        <w:t xml:space="preserve">    1.6.2. Administrare schema tratament </w:t>
      </w:r>
      <w:r w:rsidRPr="00E1066D">
        <w:rPr>
          <w:rFonts w:ascii="Times New Roman" w:hAnsi="Times New Roman"/>
          <w:sz w:val="24"/>
          <w:szCs w:val="24"/>
        </w:rPr>
        <w:t>direct observat (DOT)</w:t>
      </w:r>
      <w:r w:rsidRPr="00E1066D">
        <w:rPr>
          <w:b/>
        </w:rPr>
        <w:t xml:space="preserve"> </w:t>
      </w:r>
      <w:r w:rsidRPr="00B8150D">
        <w:rPr>
          <w:rFonts w:ascii="Times New Roman" w:hAnsi="Times New Roman"/>
          <w:color w:val="000000"/>
          <w:sz w:val="24"/>
          <w:szCs w:val="24"/>
        </w:rPr>
        <w:t>pentru bolnavul TBC confirmat,  se acordă asiguraţilor de pe lista proprie a medicului de familie, în timpul programului de lucru în cabinet</w:t>
      </w:r>
      <w:r>
        <w:rPr>
          <w:rFonts w:ascii="Times New Roman" w:hAnsi="Times New Roman"/>
          <w:sz w:val="24"/>
          <w:szCs w:val="24"/>
        </w:rPr>
        <w:t xml:space="preserve">, </w:t>
      </w:r>
      <w:r w:rsidRPr="00E1066D">
        <w:rPr>
          <w:rFonts w:ascii="Times New Roman" w:hAnsi="Times New Roman"/>
          <w:sz w:val="24"/>
          <w:szCs w:val="24"/>
        </w:rPr>
        <w:t>cu respectarea prevederilor Ordinului ministrului sănătății nr. 6/2018 privind modificarea si completarea Ordinului ministrului sănătății 1171/2015 pentru aprobarea Ghidului metodologic de implementare a Programului național de prevenire, supraveghere și control al tuberculozei.</w:t>
      </w:r>
    </w:p>
    <w:p w:rsidR="00A354E0" w:rsidRDefault="00A354E0" w:rsidP="00096864">
      <w:pPr>
        <w:autoSpaceDE w:val="0"/>
        <w:autoSpaceDN w:val="0"/>
        <w:adjustRightInd w:val="0"/>
        <w:spacing w:after="0" w:line="240" w:lineRule="auto"/>
        <w:jc w:val="both"/>
        <w:rPr>
          <w:rFonts w:ascii="Times New Roman" w:hAnsi="Times New Roman"/>
          <w:b/>
          <w:color w:val="000000"/>
          <w:sz w:val="24"/>
          <w:szCs w:val="24"/>
        </w:rPr>
      </w:pPr>
    </w:p>
    <w:p w:rsidR="00A354E0" w:rsidRPr="00991162" w:rsidRDefault="00A354E0" w:rsidP="00042675">
      <w:pPr>
        <w:autoSpaceDE w:val="0"/>
        <w:autoSpaceDN w:val="0"/>
        <w:adjustRightInd w:val="0"/>
        <w:spacing w:after="0" w:line="240" w:lineRule="auto"/>
        <w:jc w:val="both"/>
        <w:rPr>
          <w:rFonts w:ascii="Times New Roman" w:hAnsi="Times New Roman"/>
          <w:b/>
          <w:bCs/>
          <w:sz w:val="24"/>
          <w:szCs w:val="24"/>
        </w:rPr>
      </w:pPr>
      <w:r w:rsidRPr="00991162">
        <w:rPr>
          <w:rFonts w:ascii="Times New Roman" w:hAnsi="Times New Roman"/>
          <w:sz w:val="24"/>
          <w:szCs w:val="24"/>
        </w:rPr>
        <w:t xml:space="preserve">    </w:t>
      </w:r>
      <w:r w:rsidRPr="00991162">
        <w:rPr>
          <w:rFonts w:ascii="Times New Roman" w:hAnsi="Times New Roman"/>
          <w:b/>
          <w:bCs/>
          <w:sz w:val="24"/>
          <w:szCs w:val="24"/>
        </w:rPr>
        <w:t>C. PACHETUL DE SERVICII ÎN ASISTENŢA MEDICALĂ PRIMARĂ PENTRU PACIENŢII DIN STATELE MEMBRE ALE UNIUNII EUROPENE/SPAŢIULUI ECONOMIC EUROPEAN/</w:t>
      </w:r>
      <w:r w:rsidRPr="00991162">
        <w:rPr>
          <w:rFonts w:ascii="Times New Roman" w:hAnsi="Times New Roman"/>
          <w:b/>
          <w:bCs/>
          <w:sz w:val="24"/>
          <w:szCs w:val="24"/>
          <w:shd w:val="clear" w:color="auto" w:fill="FFFFFF"/>
        </w:rPr>
        <w:t>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w:t>
      </w:r>
      <w:r w:rsidRPr="00991162">
        <w:rPr>
          <w:rFonts w:ascii="Times New Roman" w:hAnsi="Times New Roman"/>
          <w:b/>
          <w:bCs/>
          <w:sz w:val="24"/>
          <w:szCs w:val="24"/>
        </w:rPr>
        <w:t xml:space="preserve">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A354E0" w:rsidRPr="00644584" w:rsidRDefault="00A354E0" w:rsidP="00042675">
      <w:pPr>
        <w:autoSpaceDE w:val="0"/>
        <w:autoSpaceDN w:val="0"/>
        <w:adjustRightInd w:val="0"/>
        <w:spacing w:after="0" w:line="240" w:lineRule="auto"/>
        <w:jc w:val="both"/>
        <w:rPr>
          <w:rFonts w:ascii="Times New Roman" w:hAnsi="Times New Roman"/>
          <w:b/>
          <w:bCs/>
          <w:sz w:val="16"/>
          <w:szCs w:val="16"/>
        </w:rPr>
      </w:pPr>
    </w:p>
    <w:p w:rsidR="00A354E0" w:rsidRPr="00991162" w:rsidRDefault="00A354E0" w:rsidP="00042675">
      <w:pPr>
        <w:autoSpaceDE w:val="0"/>
        <w:autoSpaceDN w:val="0"/>
        <w:adjustRightInd w:val="0"/>
        <w:spacing w:after="0" w:line="240" w:lineRule="auto"/>
        <w:jc w:val="both"/>
        <w:rPr>
          <w:rFonts w:ascii="Times New Roman" w:hAnsi="Times New Roman"/>
          <w:sz w:val="24"/>
          <w:szCs w:val="24"/>
        </w:rPr>
      </w:pPr>
      <w:r w:rsidRPr="00991162">
        <w:rPr>
          <w:rFonts w:ascii="Times New Roman" w:hAnsi="Times New Roman"/>
          <w:sz w:val="24"/>
          <w:szCs w:val="24"/>
        </w:rPr>
        <w:t xml:space="preserve">    1. Pacienţii din statele membre ale Uniunii Europene / Spaţiului Economic European / Confederaţia Elveţiană, titulari de card european de asigurări sociale de sănătate, în perioada de valabilitate a cardului, beneficiază în asistenţa medicală primară de serviciile prevăzute la lit. A punctul 1, subpunctele 1.1 şi 1.2 şi la lit. B, punctul 1.1, subpunctul 1.1.2 din prezenta anexă.</w:t>
      </w:r>
    </w:p>
    <w:p w:rsidR="00A354E0" w:rsidRPr="00991162" w:rsidRDefault="00A354E0" w:rsidP="00042675">
      <w:pPr>
        <w:autoSpaceDE w:val="0"/>
        <w:autoSpaceDN w:val="0"/>
        <w:adjustRightInd w:val="0"/>
        <w:spacing w:after="0" w:line="240" w:lineRule="auto"/>
        <w:jc w:val="both"/>
        <w:rPr>
          <w:rFonts w:ascii="Times New Roman" w:hAnsi="Times New Roman"/>
          <w:sz w:val="24"/>
          <w:szCs w:val="24"/>
        </w:rPr>
      </w:pPr>
      <w:r w:rsidRPr="00991162">
        <w:rPr>
          <w:rFonts w:ascii="Times New Roman" w:hAnsi="Times New Roman"/>
          <w:sz w:val="24"/>
          <w:szCs w:val="24"/>
        </w:rPr>
        <w:t xml:space="preserve">    2. Pacienţii din statele membre ale Uniunii Europene / Spaţiului Economic European / Confederaţia Elveţiană, beneficiari ai formularelor/documentelor europene emise în baza Regulamentului (CE) nr. 883/2004 al Parlamentului European şi al Consiliului din 29 aprilie 2004 privind coordonarea sistemelor de securitate socială beneficiază în asistenţa medicală primară de serviciile prevăzute la lit. B.</w:t>
      </w:r>
    </w:p>
    <w:p w:rsidR="00A354E0" w:rsidRPr="00991162" w:rsidRDefault="00A354E0" w:rsidP="00042675">
      <w:pPr>
        <w:autoSpaceDE w:val="0"/>
        <w:autoSpaceDN w:val="0"/>
        <w:adjustRightInd w:val="0"/>
        <w:spacing w:after="0" w:line="240" w:lineRule="auto"/>
        <w:jc w:val="both"/>
        <w:rPr>
          <w:rFonts w:ascii="Times New Roman" w:hAnsi="Times New Roman"/>
          <w:sz w:val="24"/>
          <w:szCs w:val="24"/>
        </w:rPr>
      </w:pPr>
      <w:r w:rsidRPr="00991162">
        <w:rPr>
          <w:rFonts w:ascii="Times New Roman" w:hAnsi="Times New Roman"/>
          <w:sz w:val="24"/>
          <w:szCs w:val="24"/>
        </w:rPr>
        <w:t xml:space="preserve">    3. Pacienţii din statele cu care România a încheiat acorduri, înţelegeri, convenţii sau protocoale internaţionale cu prevederi în domeniul sănătăţii, pot beneficia, după caz, de serviciile medicale prevăzute la lit. A punctul 1 subpunctele 1.1 şi 1.2 din prezenta anexă sau de serviciile medicale prevăzute la lit. B din prezenta anexă în condiţiile prevăzute de respectivele documente internaţionale.</w:t>
      </w:r>
    </w:p>
    <w:sectPr w:rsidR="00A354E0" w:rsidRPr="00991162" w:rsidSect="00E04E2C">
      <w:footerReference w:type="default" r:id="rId7"/>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E0" w:rsidRDefault="00A354E0" w:rsidP="00DC2374">
      <w:pPr>
        <w:spacing w:after="0" w:line="240" w:lineRule="auto"/>
      </w:pPr>
      <w:r>
        <w:separator/>
      </w:r>
    </w:p>
  </w:endnote>
  <w:endnote w:type="continuationSeparator" w:id="0">
    <w:p w:rsidR="00A354E0" w:rsidRDefault="00A354E0" w:rsidP="00DC2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E0" w:rsidRDefault="00A354E0">
    <w:pPr>
      <w:pStyle w:val="Footer"/>
      <w:jc w:val="right"/>
    </w:pPr>
    <w:fldSimple w:instr=" PAGE   \* MERGEFORMAT ">
      <w:r>
        <w:rPr>
          <w:noProof/>
        </w:rPr>
        <w:t>2</w:t>
      </w:r>
    </w:fldSimple>
  </w:p>
  <w:p w:rsidR="00A354E0" w:rsidRDefault="00A35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E0" w:rsidRDefault="00A354E0" w:rsidP="00DC2374">
      <w:pPr>
        <w:spacing w:after="0" w:line="240" w:lineRule="auto"/>
      </w:pPr>
      <w:r>
        <w:separator/>
      </w:r>
    </w:p>
  </w:footnote>
  <w:footnote w:type="continuationSeparator" w:id="0">
    <w:p w:rsidR="00A354E0" w:rsidRDefault="00A354E0" w:rsidP="00DC23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56FAD"/>
    <w:multiLevelType w:val="multilevel"/>
    <w:tmpl w:val="47D56FAD"/>
    <w:lvl w:ilvl="0">
      <w:start w:val="1"/>
      <w:numFmt w:val="lowerLetter"/>
      <w:lvlText w:val="%1."/>
      <w:lvlJc w:val="left"/>
      <w:pPr>
        <w:ind w:left="1778" w:hanging="360"/>
      </w:pPr>
      <w:rPr>
        <w:rFonts w:cs="Times New Roman" w:hint="default"/>
      </w:rPr>
    </w:lvl>
    <w:lvl w:ilvl="1">
      <w:start w:val="1"/>
      <w:numFmt w:val="bullet"/>
      <w:lvlText w:val="o"/>
      <w:lvlJc w:val="left"/>
      <w:pPr>
        <w:ind w:left="2498" w:hanging="360"/>
      </w:pPr>
      <w:rPr>
        <w:rFonts w:ascii="Courier New" w:hAnsi="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hint="default"/>
      </w:rPr>
    </w:lvl>
    <w:lvl w:ilvl="8">
      <w:start w:val="1"/>
      <w:numFmt w:val="bullet"/>
      <w:lvlText w:val=""/>
      <w:lvlJc w:val="left"/>
      <w:pPr>
        <w:ind w:left="7538" w:hanging="360"/>
      </w:pPr>
      <w:rPr>
        <w:rFonts w:ascii="Wingdings" w:hAnsi="Wingdings" w:hint="default"/>
      </w:rPr>
    </w:lvl>
  </w:abstractNum>
  <w:abstractNum w:abstractNumId="1">
    <w:nsid w:val="6D510D21"/>
    <w:multiLevelType w:val="hybridMultilevel"/>
    <w:tmpl w:val="5164DA5C"/>
    <w:lvl w:ilvl="0" w:tplc="96AA7A6E">
      <w:start w:val="1"/>
      <w:numFmt w:val="lowerLetter"/>
      <w:lvlText w:val="%1."/>
      <w:lvlJc w:val="left"/>
      <w:pPr>
        <w:ind w:left="555" w:hanging="360"/>
      </w:pPr>
      <w:rPr>
        <w:rFonts w:cs="Times New Roman" w:hint="default"/>
      </w:rPr>
    </w:lvl>
    <w:lvl w:ilvl="1" w:tplc="04180019" w:tentative="1">
      <w:start w:val="1"/>
      <w:numFmt w:val="lowerLetter"/>
      <w:lvlText w:val="%2."/>
      <w:lvlJc w:val="left"/>
      <w:pPr>
        <w:ind w:left="1275" w:hanging="360"/>
      </w:pPr>
      <w:rPr>
        <w:rFonts w:cs="Times New Roman"/>
      </w:rPr>
    </w:lvl>
    <w:lvl w:ilvl="2" w:tplc="0418001B" w:tentative="1">
      <w:start w:val="1"/>
      <w:numFmt w:val="lowerRoman"/>
      <w:lvlText w:val="%3."/>
      <w:lvlJc w:val="right"/>
      <w:pPr>
        <w:ind w:left="1995" w:hanging="180"/>
      </w:pPr>
      <w:rPr>
        <w:rFonts w:cs="Times New Roman"/>
      </w:rPr>
    </w:lvl>
    <w:lvl w:ilvl="3" w:tplc="0418000F" w:tentative="1">
      <w:start w:val="1"/>
      <w:numFmt w:val="decimal"/>
      <w:lvlText w:val="%4."/>
      <w:lvlJc w:val="left"/>
      <w:pPr>
        <w:ind w:left="2715" w:hanging="360"/>
      </w:pPr>
      <w:rPr>
        <w:rFonts w:cs="Times New Roman"/>
      </w:rPr>
    </w:lvl>
    <w:lvl w:ilvl="4" w:tplc="04180019" w:tentative="1">
      <w:start w:val="1"/>
      <w:numFmt w:val="lowerLetter"/>
      <w:lvlText w:val="%5."/>
      <w:lvlJc w:val="left"/>
      <w:pPr>
        <w:ind w:left="3435" w:hanging="360"/>
      </w:pPr>
      <w:rPr>
        <w:rFonts w:cs="Times New Roman"/>
      </w:rPr>
    </w:lvl>
    <w:lvl w:ilvl="5" w:tplc="0418001B" w:tentative="1">
      <w:start w:val="1"/>
      <w:numFmt w:val="lowerRoman"/>
      <w:lvlText w:val="%6."/>
      <w:lvlJc w:val="right"/>
      <w:pPr>
        <w:ind w:left="4155" w:hanging="180"/>
      </w:pPr>
      <w:rPr>
        <w:rFonts w:cs="Times New Roman"/>
      </w:rPr>
    </w:lvl>
    <w:lvl w:ilvl="6" w:tplc="0418000F" w:tentative="1">
      <w:start w:val="1"/>
      <w:numFmt w:val="decimal"/>
      <w:lvlText w:val="%7."/>
      <w:lvlJc w:val="left"/>
      <w:pPr>
        <w:ind w:left="4875" w:hanging="360"/>
      </w:pPr>
      <w:rPr>
        <w:rFonts w:cs="Times New Roman"/>
      </w:rPr>
    </w:lvl>
    <w:lvl w:ilvl="7" w:tplc="04180019" w:tentative="1">
      <w:start w:val="1"/>
      <w:numFmt w:val="lowerLetter"/>
      <w:lvlText w:val="%8."/>
      <w:lvlJc w:val="left"/>
      <w:pPr>
        <w:ind w:left="5595" w:hanging="360"/>
      </w:pPr>
      <w:rPr>
        <w:rFonts w:cs="Times New Roman"/>
      </w:rPr>
    </w:lvl>
    <w:lvl w:ilvl="8" w:tplc="0418001B" w:tentative="1">
      <w:start w:val="1"/>
      <w:numFmt w:val="lowerRoman"/>
      <w:lvlText w:val="%9."/>
      <w:lvlJc w:val="right"/>
      <w:pPr>
        <w:ind w:left="631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216"/>
    <w:rsid w:val="00002452"/>
    <w:rsid w:val="00010D14"/>
    <w:rsid w:val="00014ED0"/>
    <w:rsid w:val="0003012F"/>
    <w:rsid w:val="000344B6"/>
    <w:rsid w:val="00042675"/>
    <w:rsid w:val="00067703"/>
    <w:rsid w:val="00073975"/>
    <w:rsid w:val="00085806"/>
    <w:rsid w:val="000957EB"/>
    <w:rsid w:val="00096864"/>
    <w:rsid w:val="000B5F24"/>
    <w:rsid w:val="000B7241"/>
    <w:rsid w:val="000D672C"/>
    <w:rsid w:val="000E5B08"/>
    <w:rsid w:val="000F02FE"/>
    <w:rsid w:val="00104B44"/>
    <w:rsid w:val="001262A8"/>
    <w:rsid w:val="00155BF0"/>
    <w:rsid w:val="00173065"/>
    <w:rsid w:val="00173B7D"/>
    <w:rsid w:val="00174E60"/>
    <w:rsid w:val="00186182"/>
    <w:rsid w:val="00196ABA"/>
    <w:rsid w:val="001A39EA"/>
    <w:rsid w:val="001A4431"/>
    <w:rsid w:val="001B769A"/>
    <w:rsid w:val="001B77F0"/>
    <w:rsid w:val="001E05C2"/>
    <w:rsid w:val="001E4E0A"/>
    <w:rsid w:val="001F3147"/>
    <w:rsid w:val="00210C8E"/>
    <w:rsid w:val="00214614"/>
    <w:rsid w:val="00217004"/>
    <w:rsid w:val="00235C20"/>
    <w:rsid w:val="00244800"/>
    <w:rsid w:val="00245D67"/>
    <w:rsid w:val="0025647C"/>
    <w:rsid w:val="00260B7F"/>
    <w:rsid w:val="00262C9C"/>
    <w:rsid w:val="00263599"/>
    <w:rsid w:val="00263D0C"/>
    <w:rsid w:val="002768E3"/>
    <w:rsid w:val="00285F38"/>
    <w:rsid w:val="002B0BF5"/>
    <w:rsid w:val="002C2AAA"/>
    <w:rsid w:val="002C399A"/>
    <w:rsid w:val="002D4314"/>
    <w:rsid w:val="002E1042"/>
    <w:rsid w:val="002F413D"/>
    <w:rsid w:val="002F65A6"/>
    <w:rsid w:val="00315172"/>
    <w:rsid w:val="00316F73"/>
    <w:rsid w:val="00323E15"/>
    <w:rsid w:val="003374CB"/>
    <w:rsid w:val="003636D0"/>
    <w:rsid w:val="003816BE"/>
    <w:rsid w:val="003C5960"/>
    <w:rsid w:val="004049AA"/>
    <w:rsid w:val="00411746"/>
    <w:rsid w:val="004127EC"/>
    <w:rsid w:val="0041482B"/>
    <w:rsid w:val="00436A55"/>
    <w:rsid w:val="004418D8"/>
    <w:rsid w:val="00450126"/>
    <w:rsid w:val="00460924"/>
    <w:rsid w:val="004744C3"/>
    <w:rsid w:val="00481280"/>
    <w:rsid w:val="0048670D"/>
    <w:rsid w:val="004A44BE"/>
    <w:rsid w:val="004B2DDA"/>
    <w:rsid w:val="004B5FB6"/>
    <w:rsid w:val="004C7FB3"/>
    <w:rsid w:val="004D231F"/>
    <w:rsid w:val="004D50EF"/>
    <w:rsid w:val="004E3899"/>
    <w:rsid w:val="004F16D1"/>
    <w:rsid w:val="004F6EF9"/>
    <w:rsid w:val="005031B8"/>
    <w:rsid w:val="00506286"/>
    <w:rsid w:val="00521599"/>
    <w:rsid w:val="00522A14"/>
    <w:rsid w:val="00526DD6"/>
    <w:rsid w:val="005327F1"/>
    <w:rsid w:val="0054495C"/>
    <w:rsid w:val="00560B34"/>
    <w:rsid w:val="00565126"/>
    <w:rsid w:val="00570BCF"/>
    <w:rsid w:val="00571DED"/>
    <w:rsid w:val="00572DCA"/>
    <w:rsid w:val="005815FA"/>
    <w:rsid w:val="00581F94"/>
    <w:rsid w:val="00594B81"/>
    <w:rsid w:val="005A3923"/>
    <w:rsid w:val="005A6125"/>
    <w:rsid w:val="005A69E6"/>
    <w:rsid w:val="005B298A"/>
    <w:rsid w:val="005B4581"/>
    <w:rsid w:val="005B4F52"/>
    <w:rsid w:val="005C57B0"/>
    <w:rsid w:val="005D7B30"/>
    <w:rsid w:val="005F73F1"/>
    <w:rsid w:val="006057DD"/>
    <w:rsid w:val="0060645B"/>
    <w:rsid w:val="0061253A"/>
    <w:rsid w:val="0062413D"/>
    <w:rsid w:val="00624721"/>
    <w:rsid w:val="00640722"/>
    <w:rsid w:val="00644584"/>
    <w:rsid w:val="006522FB"/>
    <w:rsid w:val="006524E2"/>
    <w:rsid w:val="006670DC"/>
    <w:rsid w:val="00676340"/>
    <w:rsid w:val="00683F52"/>
    <w:rsid w:val="006C015A"/>
    <w:rsid w:val="006E30E9"/>
    <w:rsid w:val="006E3A41"/>
    <w:rsid w:val="00711D65"/>
    <w:rsid w:val="00712CEA"/>
    <w:rsid w:val="00716A3D"/>
    <w:rsid w:val="00752216"/>
    <w:rsid w:val="0077044A"/>
    <w:rsid w:val="00773D09"/>
    <w:rsid w:val="0078424C"/>
    <w:rsid w:val="00792046"/>
    <w:rsid w:val="007A77AF"/>
    <w:rsid w:val="007A7D25"/>
    <w:rsid w:val="007B2B47"/>
    <w:rsid w:val="007B486E"/>
    <w:rsid w:val="007D162E"/>
    <w:rsid w:val="007D168F"/>
    <w:rsid w:val="007D34AF"/>
    <w:rsid w:val="007F2430"/>
    <w:rsid w:val="00806EF1"/>
    <w:rsid w:val="00850CCF"/>
    <w:rsid w:val="00856649"/>
    <w:rsid w:val="008844BB"/>
    <w:rsid w:val="0089352E"/>
    <w:rsid w:val="00897D73"/>
    <w:rsid w:val="008A1888"/>
    <w:rsid w:val="00913E54"/>
    <w:rsid w:val="00927811"/>
    <w:rsid w:val="00933076"/>
    <w:rsid w:val="00945873"/>
    <w:rsid w:val="00965D50"/>
    <w:rsid w:val="00967CAB"/>
    <w:rsid w:val="0098143B"/>
    <w:rsid w:val="00986681"/>
    <w:rsid w:val="00991162"/>
    <w:rsid w:val="009A4DEC"/>
    <w:rsid w:val="009A5CFE"/>
    <w:rsid w:val="009B644F"/>
    <w:rsid w:val="009C62BD"/>
    <w:rsid w:val="009D0D33"/>
    <w:rsid w:val="009D2494"/>
    <w:rsid w:val="009E6174"/>
    <w:rsid w:val="009F5355"/>
    <w:rsid w:val="009F5ED4"/>
    <w:rsid w:val="00A02E54"/>
    <w:rsid w:val="00A14BBA"/>
    <w:rsid w:val="00A21518"/>
    <w:rsid w:val="00A339D3"/>
    <w:rsid w:val="00A353B3"/>
    <w:rsid w:val="00A354E0"/>
    <w:rsid w:val="00A44544"/>
    <w:rsid w:val="00A557E4"/>
    <w:rsid w:val="00AA58F7"/>
    <w:rsid w:val="00AB50E0"/>
    <w:rsid w:val="00AC11E4"/>
    <w:rsid w:val="00AC4932"/>
    <w:rsid w:val="00AD01EF"/>
    <w:rsid w:val="00AD426E"/>
    <w:rsid w:val="00AE10BF"/>
    <w:rsid w:val="00AE4369"/>
    <w:rsid w:val="00AF5079"/>
    <w:rsid w:val="00AF692E"/>
    <w:rsid w:val="00B1181B"/>
    <w:rsid w:val="00B21670"/>
    <w:rsid w:val="00B30DF1"/>
    <w:rsid w:val="00B7394C"/>
    <w:rsid w:val="00B8150D"/>
    <w:rsid w:val="00BA0043"/>
    <w:rsid w:val="00BA2F65"/>
    <w:rsid w:val="00BA5092"/>
    <w:rsid w:val="00BA5B75"/>
    <w:rsid w:val="00BC0D49"/>
    <w:rsid w:val="00BC47CC"/>
    <w:rsid w:val="00BC6B0C"/>
    <w:rsid w:val="00BC7E17"/>
    <w:rsid w:val="00BD3ED5"/>
    <w:rsid w:val="00BE2DD0"/>
    <w:rsid w:val="00BE6192"/>
    <w:rsid w:val="00BF123C"/>
    <w:rsid w:val="00C074B1"/>
    <w:rsid w:val="00C3123A"/>
    <w:rsid w:val="00C32C2D"/>
    <w:rsid w:val="00C37748"/>
    <w:rsid w:val="00C421EE"/>
    <w:rsid w:val="00C441CD"/>
    <w:rsid w:val="00C56AAC"/>
    <w:rsid w:val="00C57EEC"/>
    <w:rsid w:val="00C6152D"/>
    <w:rsid w:val="00C8142B"/>
    <w:rsid w:val="00C845FC"/>
    <w:rsid w:val="00C94E15"/>
    <w:rsid w:val="00CA63D0"/>
    <w:rsid w:val="00CD574E"/>
    <w:rsid w:val="00CE310B"/>
    <w:rsid w:val="00CE3B07"/>
    <w:rsid w:val="00CF0414"/>
    <w:rsid w:val="00CF0832"/>
    <w:rsid w:val="00CF0D9A"/>
    <w:rsid w:val="00D07615"/>
    <w:rsid w:val="00D522F3"/>
    <w:rsid w:val="00D608B3"/>
    <w:rsid w:val="00D74BDC"/>
    <w:rsid w:val="00D84736"/>
    <w:rsid w:val="00D851E8"/>
    <w:rsid w:val="00D90D19"/>
    <w:rsid w:val="00DC2374"/>
    <w:rsid w:val="00DD5C21"/>
    <w:rsid w:val="00DE19C3"/>
    <w:rsid w:val="00E04E2C"/>
    <w:rsid w:val="00E07F0B"/>
    <w:rsid w:val="00E1066D"/>
    <w:rsid w:val="00E5186E"/>
    <w:rsid w:val="00E70907"/>
    <w:rsid w:val="00E8708E"/>
    <w:rsid w:val="00EA1CFA"/>
    <w:rsid w:val="00EB3FDA"/>
    <w:rsid w:val="00EB546E"/>
    <w:rsid w:val="00ED3CBB"/>
    <w:rsid w:val="00ED43EA"/>
    <w:rsid w:val="00EE514B"/>
    <w:rsid w:val="00EF292A"/>
    <w:rsid w:val="00F02B48"/>
    <w:rsid w:val="00F13167"/>
    <w:rsid w:val="00F2428E"/>
    <w:rsid w:val="00F31255"/>
    <w:rsid w:val="00F35679"/>
    <w:rsid w:val="00F42801"/>
    <w:rsid w:val="00F64289"/>
    <w:rsid w:val="00F95134"/>
    <w:rsid w:val="00F9557A"/>
    <w:rsid w:val="00FA2F4A"/>
    <w:rsid w:val="00FA6D59"/>
    <w:rsid w:val="00FB7A40"/>
    <w:rsid w:val="00FC51F5"/>
    <w:rsid w:val="00FD17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16"/>
    <w:pPr>
      <w:spacing w:after="200" w:line="276" w:lineRule="auto"/>
    </w:pPr>
    <w:rPr>
      <w:rFonts w:ascii="Calibri" w:hAnsi="Calibri"/>
      <w:lang w:val="ro-RO"/>
    </w:rPr>
  </w:style>
  <w:style w:type="paragraph" w:styleId="Heading1">
    <w:name w:val="heading 1"/>
    <w:basedOn w:val="Normal"/>
    <w:next w:val="Normal"/>
    <w:link w:val="Heading1Char"/>
    <w:uiPriority w:val="99"/>
    <w:qFormat/>
    <w:rsid w:val="009D0D33"/>
    <w:pPr>
      <w:keepNext/>
      <w:spacing w:after="0" w:line="240" w:lineRule="auto"/>
      <w:outlineLvl w:val="0"/>
    </w:pPr>
    <w:rPr>
      <w:rFonts w:ascii="Times New Roman" w:hAnsi="Times New Roman"/>
      <w:caps/>
      <w:sz w:val="32"/>
      <w:szCs w:val="20"/>
    </w:rPr>
  </w:style>
  <w:style w:type="paragraph" w:styleId="Heading2">
    <w:name w:val="heading 2"/>
    <w:basedOn w:val="Normal"/>
    <w:next w:val="Normal"/>
    <w:link w:val="Heading2Char"/>
    <w:uiPriority w:val="99"/>
    <w:qFormat/>
    <w:rsid w:val="009D0D33"/>
    <w:pPr>
      <w:keepNext/>
      <w:spacing w:after="0" w:line="240" w:lineRule="auto"/>
      <w:outlineLvl w:val="1"/>
    </w:pPr>
    <w:rPr>
      <w:rFonts w:ascii="Times New Roman" w:hAnsi="Times New Roman"/>
      <w:sz w:val="24"/>
      <w:szCs w:val="20"/>
    </w:rPr>
  </w:style>
  <w:style w:type="paragraph" w:styleId="Heading3">
    <w:name w:val="heading 3"/>
    <w:basedOn w:val="Normal"/>
    <w:next w:val="Normal"/>
    <w:link w:val="Heading3Char"/>
    <w:uiPriority w:val="99"/>
    <w:qFormat/>
    <w:rsid w:val="009D0D33"/>
    <w:pPr>
      <w:keepNext/>
      <w:spacing w:before="240" w:after="60" w:line="240" w:lineRule="auto"/>
      <w:outlineLvl w:val="2"/>
    </w:pPr>
    <w:rPr>
      <w:rFonts w:ascii="Cambria" w:hAnsi="Cambria"/>
      <w:b/>
      <w:bCs/>
      <w:sz w:val="26"/>
      <w:szCs w:val="26"/>
    </w:rPr>
  </w:style>
  <w:style w:type="paragraph" w:styleId="Heading5">
    <w:name w:val="heading 5"/>
    <w:basedOn w:val="Normal"/>
    <w:next w:val="Normal"/>
    <w:link w:val="Heading5Char"/>
    <w:uiPriority w:val="99"/>
    <w:qFormat/>
    <w:rsid w:val="009D0D33"/>
    <w:pPr>
      <w:keepNext/>
      <w:spacing w:after="0" w:line="240" w:lineRule="auto"/>
      <w:outlineLvl w:val="4"/>
    </w:pPr>
    <w:rPr>
      <w:rFonts w:ascii="Arial" w:hAnsi="Arial"/>
      <w:b/>
      <w:cap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D33"/>
    <w:rPr>
      <w:rFonts w:cs="Times New Roman"/>
      <w:caps/>
      <w:sz w:val="32"/>
    </w:rPr>
  </w:style>
  <w:style w:type="character" w:customStyle="1" w:styleId="Heading2Char">
    <w:name w:val="Heading 2 Char"/>
    <w:basedOn w:val="DefaultParagraphFont"/>
    <w:link w:val="Heading2"/>
    <w:uiPriority w:val="99"/>
    <w:locked/>
    <w:rsid w:val="009D0D33"/>
    <w:rPr>
      <w:rFonts w:cs="Times New Roman"/>
      <w:sz w:val="24"/>
    </w:rPr>
  </w:style>
  <w:style w:type="character" w:customStyle="1" w:styleId="Heading3Char">
    <w:name w:val="Heading 3 Char"/>
    <w:basedOn w:val="DefaultParagraphFont"/>
    <w:link w:val="Heading3"/>
    <w:uiPriority w:val="99"/>
    <w:semiHidden/>
    <w:locked/>
    <w:rsid w:val="009D0D33"/>
    <w:rPr>
      <w:rFonts w:ascii="Cambria" w:hAnsi="Cambria" w:cs="Times New Roman"/>
      <w:b/>
      <w:bCs/>
      <w:sz w:val="26"/>
      <w:szCs w:val="26"/>
    </w:rPr>
  </w:style>
  <w:style w:type="character" w:customStyle="1" w:styleId="Heading5Char">
    <w:name w:val="Heading 5 Char"/>
    <w:basedOn w:val="DefaultParagraphFont"/>
    <w:link w:val="Heading5"/>
    <w:uiPriority w:val="99"/>
    <w:locked/>
    <w:rsid w:val="009D0D33"/>
    <w:rPr>
      <w:rFonts w:ascii="Arial" w:hAnsi="Arial" w:cs="Times New Roman"/>
      <w:b/>
      <w:caps/>
      <w:sz w:val="24"/>
    </w:rPr>
  </w:style>
  <w:style w:type="table" w:styleId="TableGrid">
    <w:name w:val="Table Grid"/>
    <w:basedOn w:val="TableNormal"/>
    <w:uiPriority w:val="99"/>
    <w:rsid w:val="0075221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F7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73F1"/>
    <w:rPr>
      <w:rFonts w:ascii="Tahoma" w:eastAsia="Times New Roman" w:hAnsi="Tahoma" w:cs="Tahoma"/>
      <w:sz w:val="16"/>
      <w:szCs w:val="16"/>
    </w:rPr>
  </w:style>
  <w:style w:type="paragraph" w:styleId="Header">
    <w:name w:val="header"/>
    <w:basedOn w:val="Normal"/>
    <w:link w:val="HeaderChar"/>
    <w:uiPriority w:val="99"/>
    <w:rsid w:val="00DC2374"/>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DC2374"/>
    <w:rPr>
      <w:rFonts w:ascii="Calibri" w:eastAsia="Times New Roman" w:hAnsi="Calibri" w:cs="Times New Roman"/>
      <w:sz w:val="22"/>
      <w:szCs w:val="22"/>
    </w:rPr>
  </w:style>
  <w:style w:type="paragraph" w:styleId="Footer">
    <w:name w:val="footer"/>
    <w:basedOn w:val="Normal"/>
    <w:link w:val="FooterChar"/>
    <w:uiPriority w:val="99"/>
    <w:rsid w:val="00DC2374"/>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DC2374"/>
    <w:rPr>
      <w:rFonts w:ascii="Calibri" w:eastAsia="Times New Roman" w:hAnsi="Calibri" w:cs="Times New Roman"/>
      <w:sz w:val="22"/>
      <w:szCs w:val="22"/>
    </w:rPr>
  </w:style>
  <w:style w:type="paragraph" w:styleId="ListParagraph">
    <w:name w:val="List Paragraph"/>
    <w:basedOn w:val="Normal"/>
    <w:uiPriority w:val="99"/>
    <w:qFormat/>
    <w:rsid w:val="0062413D"/>
    <w:pPr>
      <w:ind w:left="720"/>
      <w:contextualSpacing/>
    </w:pPr>
  </w:style>
  <w:style w:type="paragraph" w:customStyle="1" w:styleId="ListParagraph1">
    <w:name w:val="List Paragraph1"/>
    <w:basedOn w:val="Normal"/>
    <w:uiPriority w:val="99"/>
    <w:rsid w:val="00676340"/>
    <w:pPr>
      <w:spacing w:after="160" w:line="259"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11</Pages>
  <Words>5996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Neacsu Adrian</cp:lastModifiedBy>
  <cp:revision>9</cp:revision>
  <cp:lastPrinted>2018-03-09T10:07:00Z</cp:lastPrinted>
  <dcterms:created xsi:type="dcterms:W3CDTF">2018-03-23T08:43:00Z</dcterms:created>
  <dcterms:modified xsi:type="dcterms:W3CDTF">2018-11-20T11:03:00Z</dcterms:modified>
</cp:coreProperties>
</file>